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8"/>
        <w:spacing w:before="120"/>
        <w:ind w:left="0" w:leftChars="0" w:firstLine="0" w:firstLineChars="0"/>
        <w:rPr>
          <w:rFonts w:cs="Times New Roman"/>
          <w:color w:val="auto"/>
          <w:highlight w:val="none"/>
        </w:rPr>
      </w:pPr>
    </w:p>
    <w:p>
      <w:pPr>
        <w:tabs>
          <w:tab w:val="left" w:pos="1050"/>
          <w:tab w:val="right" w:leader="dot" w:pos="9402"/>
        </w:tabs>
        <w:spacing w:line="1600" w:lineRule="exact"/>
        <w:jc w:val="center"/>
        <w:rPr>
          <w:rFonts w:hint="eastAsia" w:asciiTheme="majorEastAsia" w:hAnsiTheme="majorEastAsia" w:eastAsiaTheme="majorEastAsia" w:cstheme="majorEastAsia"/>
          <w:b/>
          <w:bCs/>
          <w:color w:val="auto"/>
          <w:w w:val="80"/>
          <w:sz w:val="52"/>
          <w:szCs w:val="52"/>
          <w:highlight w:val="none"/>
        </w:rPr>
      </w:pPr>
      <w:r>
        <w:rPr>
          <w:rFonts w:hint="eastAsia" w:asciiTheme="majorEastAsia" w:hAnsiTheme="majorEastAsia" w:eastAsiaTheme="majorEastAsia" w:cstheme="majorEastAsia"/>
          <w:b/>
          <w:bCs/>
          <w:color w:val="auto"/>
          <w:w w:val="80"/>
          <w:sz w:val="52"/>
          <w:szCs w:val="52"/>
          <w:highlight w:val="none"/>
        </w:rPr>
        <w:t>南通市委老干部局</w:t>
      </w:r>
      <w:r>
        <w:rPr>
          <w:rFonts w:hint="eastAsia" w:asciiTheme="majorEastAsia" w:hAnsiTheme="majorEastAsia" w:eastAsiaTheme="majorEastAsia" w:cstheme="majorEastAsia"/>
          <w:b/>
          <w:bCs/>
          <w:color w:val="auto"/>
          <w:w w:val="80"/>
          <w:sz w:val="52"/>
          <w:szCs w:val="52"/>
          <w:highlight w:val="none"/>
          <w:lang w:val="en-US" w:eastAsia="zh-CN"/>
        </w:rPr>
        <w:t>视频</w:t>
      </w:r>
      <w:r>
        <w:rPr>
          <w:rFonts w:hint="eastAsia" w:asciiTheme="majorEastAsia" w:hAnsiTheme="majorEastAsia" w:eastAsiaTheme="majorEastAsia" w:cstheme="majorEastAsia"/>
          <w:b/>
          <w:bCs/>
          <w:color w:val="auto"/>
          <w:w w:val="80"/>
          <w:sz w:val="52"/>
          <w:szCs w:val="52"/>
          <w:highlight w:val="none"/>
        </w:rPr>
        <w:t>拍摄项目</w:t>
      </w:r>
    </w:p>
    <w:p>
      <w:pPr>
        <w:tabs>
          <w:tab w:val="left" w:pos="1050"/>
          <w:tab w:val="right" w:leader="dot" w:pos="9402"/>
        </w:tabs>
        <w:spacing w:line="1600" w:lineRule="exact"/>
        <w:jc w:val="center"/>
        <w:rPr>
          <w:rFonts w:hint="eastAsia" w:asciiTheme="majorEastAsia" w:hAnsiTheme="majorEastAsia" w:eastAsiaTheme="majorEastAsia" w:cstheme="majorEastAsia"/>
          <w:b/>
          <w:bCs/>
          <w:color w:val="auto"/>
          <w:w w:val="80"/>
          <w:sz w:val="56"/>
          <w:szCs w:val="56"/>
          <w:highlight w:val="none"/>
        </w:rPr>
      </w:pPr>
    </w:p>
    <w:p>
      <w:pPr>
        <w:tabs>
          <w:tab w:val="left" w:pos="1050"/>
          <w:tab w:val="right" w:leader="dot" w:pos="9402"/>
        </w:tabs>
        <w:spacing w:line="1600" w:lineRule="exact"/>
        <w:jc w:val="center"/>
        <w:rPr>
          <w:rFonts w:hint="eastAsia" w:asciiTheme="majorEastAsia" w:hAnsiTheme="majorEastAsia" w:eastAsiaTheme="majorEastAsia" w:cstheme="majorEastAsia"/>
          <w:b/>
          <w:bCs/>
          <w:color w:val="auto"/>
          <w:sz w:val="72"/>
          <w:szCs w:val="72"/>
          <w:highlight w:val="none"/>
        </w:rPr>
      </w:pPr>
      <w:r>
        <w:rPr>
          <w:rFonts w:hint="eastAsia" w:asciiTheme="majorEastAsia" w:hAnsiTheme="majorEastAsia" w:eastAsiaTheme="majorEastAsia" w:cstheme="majorEastAsia"/>
          <w:b/>
          <w:bCs/>
          <w:color w:val="auto"/>
          <w:w w:val="80"/>
          <w:sz w:val="56"/>
          <w:szCs w:val="56"/>
          <w:highlight w:val="none"/>
        </w:rPr>
        <w:t>竞争性磋商文件</w:t>
      </w:r>
    </w:p>
    <w:p>
      <w:pPr>
        <w:tabs>
          <w:tab w:val="left" w:pos="1050"/>
          <w:tab w:val="right" w:leader="dot" w:pos="9402"/>
        </w:tabs>
        <w:spacing w:line="520" w:lineRule="exact"/>
        <w:jc w:val="center"/>
        <w:rPr>
          <w:rFonts w:hint="eastAsia" w:ascii="宋体" w:hAnsi="宋体" w:eastAsia="宋体" w:cs="宋体"/>
          <w:b/>
          <w:bCs/>
          <w:color w:val="auto"/>
          <w:w w:val="80"/>
          <w:sz w:val="44"/>
          <w:szCs w:val="44"/>
          <w:highlight w:val="none"/>
        </w:rPr>
      </w:pPr>
      <w:r>
        <w:rPr>
          <w:rFonts w:hint="eastAsia" w:ascii="宋体" w:hAnsi="宋体" w:eastAsia="宋体" w:cs="宋体"/>
          <w:b/>
          <w:bCs/>
          <w:color w:val="auto"/>
          <w:w w:val="80"/>
          <w:sz w:val="44"/>
          <w:szCs w:val="44"/>
          <w:highlight w:val="none"/>
        </w:rPr>
        <w:t>（资格后审）</w:t>
      </w:r>
    </w:p>
    <w:p>
      <w:pPr>
        <w:pStyle w:val="2"/>
        <w:jc w:val="center"/>
        <w:rPr>
          <w:rFonts w:hint="eastAsia" w:ascii="宋体" w:hAnsi="宋体" w:eastAsia="宋体" w:cs="宋体"/>
          <w:b/>
          <w:bCs/>
          <w:color w:val="auto"/>
          <w:w w:val="80"/>
          <w:kern w:val="2"/>
          <w:sz w:val="32"/>
          <w:szCs w:val="32"/>
          <w:highlight w:val="none"/>
          <w:lang w:val="en-US" w:eastAsia="zh-CN" w:bidi="ar-SA"/>
        </w:rPr>
      </w:pPr>
      <w:r>
        <w:rPr>
          <w:rFonts w:hint="eastAsia" w:ascii="宋体" w:hAnsi="宋体" w:eastAsia="宋体" w:cs="宋体"/>
          <w:b/>
          <w:bCs/>
          <w:color w:val="auto"/>
          <w:w w:val="80"/>
          <w:kern w:val="2"/>
          <w:sz w:val="32"/>
          <w:szCs w:val="32"/>
          <w:highlight w:val="none"/>
          <w:lang w:val="en-US" w:eastAsia="zh-CN" w:bidi="ar-SA"/>
        </w:rPr>
        <w:t>项目编号：DFHX2022031</w:t>
      </w:r>
    </w:p>
    <w:p>
      <w:pPr>
        <w:jc w:val="center"/>
        <w:rPr>
          <w:rFonts w:ascii="仿宋_GB2312" w:hAnsi="Calibri" w:eastAsia="仿宋_GB2312"/>
          <w:b/>
          <w:bCs/>
          <w:color w:val="auto"/>
          <w:sz w:val="44"/>
          <w:szCs w:val="44"/>
          <w:highlight w:val="none"/>
        </w:rPr>
      </w:pPr>
    </w:p>
    <w:p>
      <w:pPr>
        <w:jc w:val="center"/>
        <w:rPr>
          <w:rFonts w:hint="eastAsia" w:asciiTheme="minorEastAsia" w:hAnsiTheme="minorEastAsia" w:eastAsiaTheme="minorEastAsia" w:cstheme="minorEastAsia"/>
          <w:b/>
          <w:bCs/>
          <w:color w:val="auto"/>
          <w:sz w:val="44"/>
          <w:szCs w:val="44"/>
          <w:highlight w:val="none"/>
        </w:rPr>
      </w:pPr>
    </w:p>
    <w:p>
      <w:pPr>
        <w:snapToGrid w:val="0"/>
        <w:spacing w:line="360" w:lineRule="auto"/>
        <w:rPr>
          <w:rFonts w:ascii="Arial" w:hAnsi="Arial" w:eastAsia="黑体"/>
          <w:b/>
          <w:bCs/>
          <w:color w:val="auto"/>
          <w:sz w:val="36"/>
          <w:szCs w:val="36"/>
          <w:highlight w:val="none"/>
        </w:rPr>
      </w:pPr>
    </w:p>
    <w:p>
      <w:pPr>
        <w:snapToGrid w:val="0"/>
        <w:spacing w:line="360" w:lineRule="auto"/>
        <w:jc w:val="center"/>
        <w:rPr>
          <w:rFonts w:ascii="宋体" w:hAnsi="宋体" w:eastAsia="宋体"/>
          <w:b/>
          <w:bCs/>
          <w:color w:val="auto"/>
          <w:kern w:val="0"/>
          <w:sz w:val="32"/>
          <w:szCs w:val="32"/>
          <w:highlight w:val="none"/>
        </w:rPr>
      </w:pPr>
    </w:p>
    <w:p>
      <w:pPr>
        <w:pStyle w:val="48"/>
        <w:spacing w:before="120"/>
        <w:ind w:firstLine="600"/>
        <w:rPr>
          <w:rFonts w:cs="Times New Roman"/>
          <w:b/>
          <w:bCs/>
          <w:color w:val="auto"/>
          <w:highlight w:val="none"/>
        </w:rPr>
      </w:pPr>
    </w:p>
    <w:p>
      <w:pPr>
        <w:pStyle w:val="48"/>
        <w:spacing w:before="120"/>
        <w:ind w:firstLine="600"/>
        <w:rPr>
          <w:rFonts w:cs="Times New Roman"/>
          <w:b/>
          <w:bCs/>
          <w:color w:val="auto"/>
          <w:highlight w:val="none"/>
        </w:rPr>
      </w:pPr>
    </w:p>
    <w:p>
      <w:pPr>
        <w:pStyle w:val="48"/>
        <w:spacing w:before="120"/>
        <w:ind w:firstLine="600"/>
        <w:rPr>
          <w:rFonts w:cs="Times New Roman"/>
          <w:b/>
          <w:bCs/>
          <w:color w:val="auto"/>
          <w:highlight w:val="none"/>
        </w:rPr>
      </w:pPr>
    </w:p>
    <w:p>
      <w:pPr>
        <w:snapToGrid w:val="0"/>
        <w:spacing w:line="360" w:lineRule="auto"/>
        <w:jc w:val="center"/>
        <w:rPr>
          <w:rFonts w:ascii="宋体" w:hAnsi="宋体" w:eastAsia="宋体"/>
          <w:b/>
          <w:bCs/>
          <w:color w:val="auto"/>
          <w:kern w:val="0"/>
          <w:sz w:val="32"/>
          <w:szCs w:val="32"/>
          <w:highlight w:val="none"/>
        </w:rPr>
      </w:pPr>
    </w:p>
    <w:p>
      <w:pPr>
        <w:snapToGrid w:val="0"/>
        <w:spacing w:line="360" w:lineRule="auto"/>
        <w:jc w:val="center"/>
        <w:rPr>
          <w:rFonts w:hint="eastAsia" w:asciiTheme="majorEastAsia" w:hAnsiTheme="majorEastAsia" w:eastAsiaTheme="majorEastAsia" w:cstheme="majorEastAsia"/>
          <w:b/>
          <w:bCs/>
          <w:color w:val="auto"/>
          <w:kern w:val="0"/>
          <w:sz w:val="32"/>
          <w:szCs w:val="32"/>
          <w:highlight w:val="none"/>
          <w:lang w:val="en-US" w:eastAsia="zh-CN"/>
        </w:rPr>
      </w:pPr>
      <w:r>
        <w:rPr>
          <w:rFonts w:hint="eastAsia" w:asciiTheme="majorEastAsia" w:hAnsiTheme="majorEastAsia" w:eastAsiaTheme="majorEastAsia" w:cstheme="majorEastAsia"/>
          <w:b/>
          <w:bCs/>
          <w:color w:val="auto"/>
          <w:kern w:val="0"/>
          <w:sz w:val="32"/>
          <w:szCs w:val="32"/>
          <w:highlight w:val="none"/>
        </w:rPr>
        <w:t>招标人：南通</w:t>
      </w:r>
      <w:r>
        <w:rPr>
          <w:rFonts w:hint="eastAsia" w:asciiTheme="majorEastAsia" w:hAnsiTheme="majorEastAsia" w:eastAsiaTheme="majorEastAsia" w:cstheme="majorEastAsia"/>
          <w:b/>
          <w:bCs/>
          <w:color w:val="auto"/>
          <w:kern w:val="0"/>
          <w:sz w:val="32"/>
          <w:szCs w:val="32"/>
          <w:highlight w:val="none"/>
          <w:lang w:val="en-US" w:eastAsia="zh-CN"/>
        </w:rPr>
        <w:t>市委老干部局</w:t>
      </w:r>
    </w:p>
    <w:p>
      <w:pPr>
        <w:snapToGrid w:val="0"/>
        <w:spacing w:line="360" w:lineRule="auto"/>
        <w:jc w:val="center"/>
        <w:rPr>
          <w:rFonts w:hint="eastAsia" w:asciiTheme="majorEastAsia" w:hAnsiTheme="majorEastAsia" w:eastAsiaTheme="majorEastAsia" w:cstheme="majorEastAsia"/>
          <w:b/>
          <w:bCs/>
          <w:color w:val="auto"/>
          <w:kern w:val="0"/>
          <w:sz w:val="32"/>
          <w:szCs w:val="32"/>
          <w:highlight w:val="none"/>
          <w:lang w:eastAsia="zh-CN"/>
        </w:rPr>
      </w:pPr>
      <w:r>
        <w:rPr>
          <w:rFonts w:hint="eastAsia" w:asciiTheme="majorEastAsia" w:hAnsiTheme="majorEastAsia" w:eastAsiaTheme="majorEastAsia" w:cstheme="majorEastAsia"/>
          <w:b/>
          <w:bCs/>
          <w:color w:val="auto"/>
          <w:kern w:val="0"/>
          <w:sz w:val="32"/>
          <w:szCs w:val="32"/>
          <w:highlight w:val="none"/>
        </w:rPr>
        <w:t>采购代理机构：</w:t>
      </w:r>
      <w:r>
        <w:rPr>
          <w:rFonts w:hint="eastAsia" w:asciiTheme="majorEastAsia" w:hAnsiTheme="majorEastAsia" w:eastAsiaTheme="majorEastAsia" w:cstheme="majorEastAsia"/>
          <w:b/>
          <w:bCs/>
          <w:color w:val="auto"/>
          <w:kern w:val="0"/>
          <w:sz w:val="32"/>
          <w:szCs w:val="32"/>
          <w:highlight w:val="none"/>
          <w:lang w:eastAsia="zh-CN"/>
        </w:rPr>
        <w:t>东方华星建设管理（江苏）有限公司</w:t>
      </w:r>
    </w:p>
    <w:p>
      <w:pPr>
        <w:snapToGrid w:val="0"/>
        <w:spacing w:line="360" w:lineRule="auto"/>
        <w:jc w:val="center"/>
        <w:rPr>
          <w:rFonts w:hint="default" w:asciiTheme="majorEastAsia" w:hAnsiTheme="majorEastAsia" w:eastAsiaTheme="majorEastAsia" w:cstheme="majorEastAsia"/>
          <w:b/>
          <w:bCs/>
          <w:color w:val="auto"/>
          <w:kern w:val="0"/>
          <w:sz w:val="32"/>
          <w:szCs w:val="32"/>
          <w:highlight w:val="none"/>
          <w:lang w:val="en-US" w:eastAsia="zh-CN"/>
        </w:rPr>
      </w:pPr>
      <w:r>
        <w:rPr>
          <w:rFonts w:hint="eastAsia" w:asciiTheme="majorEastAsia" w:hAnsiTheme="majorEastAsia" w:eastAsiaTheme="majorEastAsia" w:cstheme="majorEastAsia"/>
          <w:b/>
          <w:bCs/>
          <w:color w:val="auto"/>
          <w:kern w:val="0"/>
          <w:sz w:val="32"/>
          <w:szCs w:val="32"/>
          <w:highlight w:val="none"/>
          <w:lang w:val="en-US" w:eastAsia="zh-CN"/>
        </w:rPr>
        <w:t>2022</w:t>
      </w:r>
      <w:r>
        <w:rPr>
          <w:rFonts w:hint="eastAsia" w:asciiTheme="majorEastAsia" w:hAnsiTheme="majorEastAsia" w:eastAsiaTheme="majorEastAsia" w:cstheme="majorEastAsia"/>
          <w:b/>
          <w:bCs/>
          <w:color w:val="auto"/>
          <w:kern w:val="0"/>
          <w:sz w:val="32"/>
          <w:szCs w:val="32"/>
          <w:highlight w:val="none"/>
          <w:lang w:eastAsia="zh-CN"/>
        </w:rPr>
        <w:t>年</w:t>
      </w:r>
      <w:r>
        <w:rPr>
          <w:rFonts w:hint="default" w:asciiTheme="majorEastAsia" w:hAnsiTheme="majorEastAsia" w:eastAsiaTheme="majorEastAsia" w:cstheme="majorEastAsia"/>
          <w:b/>
          <w:bCs/>
          <w:color w:val="auto"/>
          <w:kern w:val="0"/>
          <w:sz w:val="32"/>
          <w:szCs w:val="32"/>
          <w:highlight w:val="none"/>
          <w:lang w:val="en-US" w:eastAsia="zh-CN"/>
        </w:rPr>
        <w:pict>
          <v:shape id="_x0000_s1026" o:spid="_x0000_s1026" o:spt="202" type="#_x0000_t202" style="position:absolute;left:0pt;margin-left:194.6pt;margin-top:40.55pt;height:38pt;width:63.75pt;z-index:251659264;mso-width-relative:page;mso-height-relative:page;" stroked="f" coordsize="21600,21600">
            <v:path/>
            <v:fill focussize="0,0"/>
            <v:stroke on="f" joinstyle="miter"/>
            <v:imagedata o:title=""/>
            <o:lock v:ext="edit"/>
            <v:textbox>
              <w:txbxContent>
                <w:p/>
              </w:txbxContent>
            </v:textbox>
          </v:shape>
        </w:pict>
      </w:r>
      <w:r>
        <w:rPr>
          <w:rFonts w:hint="default" w:asciiTheme="majorEastAsia" w:hAnsiTheme="majorEastAsia" w:eastAsiaTheme="majorEastAsia" w:cstheme="majorEastAsia"/>
          <w:b/>
          <w:bCs/>
          <w:color w:val="auto"/>
          <w:kern w:val="0"/>
          <w:sz w:val="32"/>
          <w:szCs w:val="32"/>
          <w:highlight w:val="none"/>
          <w:lang w:val="en-US" w:eastAsia="zh-CN"/>
        </w:rPr>
        <w:pict>
          <v:shape id="_x0000_s1027" o:spid="_x0000_s1027" o:spt="202" type="#_x0000_t202" style="position:absolute;left:0pt;margin-left:203.6pt;margin-top:734pt;height:38pt;width:63.75pt;z-index:251659264;mso-width-relative:page;mso-height-relative:page;" stroked="f" coordsize="21600,21600">
            <v:path/>
            <v:fill focussize="0,0"/>
            <v:stroke on="f" joinstyle="miter"/>
            <v:imagedata o:title=""/>
            <o:lock v:ext="edit"/>
            <v:textbox>
              <w:txbxContent>
                <w:p/>
              </w:txbxContent>
            </v:textbox>
          </v:shape>
        </w:pict>
      </w:r>
      <w:r>
        <w:rPr>
          <w:rFonts w:hint="eastAsia" w:asciiTheme="majorEastAsia" w:hAnsiTheme="majorEastAsia" w:eastAsiaTheme="majorEastAsia" w:cstheme="majorEastAsia"/>
          <w:b/>
          <w:bCs/>
          <w:color w:val="auto"/>
          <w:kern w:val="0"/>
          <w:sz w:val="32"/>
          <w:szCs w:val="32"/>
          <w:highlight w:val="none"/>
          <w:lang w:val="en-US" w:eastAsia="zh-CN"/>
        </w:rPr>
        <w:t>5月9日</w:t>
      </w:r>
    </w:p>
    <w:p>
      <w:pPr>
        <w:pStyle w:val="48"/>
        <w:rPr>
          <w:rFonts w:hint="eastAsia" w:asciiTheme="majorEastAsia" w:hAnsiTheme="majorEastAsia" w:eastAsiaTheme="majorEastAsia" w:cstheme="majorEastAsia"/>
          <w:color w:val="auto"/>
          <w:kern w:val="0"/>
          <w:sz w:val="32"/>
          <w:szCs w:val="32"/>
          <w:highlight w:val="none"/>
          <w:lang w:val="en-US" w:eastAsia="zh-CN"/>
        </w:rPr>
      </w:pPr>
    </w:p>
    <w:p>
      <w:pPr>
        <w:pStyle w:val="48"/>
        <w:rPr>
          <w:rFonts w:hint="eastAsia" w:asciiTheme="majorEastAsia" w:hAnsiTheme="majorEastAsia" w:eastAsiaTheme="majorEastAsia" w:cstheme="majorEastAsia"/>
          <w:color w:val="auto"/>
          <w:kern w:val="0"/>
          <w:sz w:val="32"/>
          <w:szCs w:val="32"/>
          <w:highlight w:val="none"/>
          <w:lang w:val="en-US" w:eastAsia="zh-CN"/>
        </w:rPr>
      </w:pPr>
    </w:p>
    <w:p>
      <w:pPr>
        <w:pStyle w:val="48"/>
        <w:rPr>
          <w:rFonts w:hint="eastAsia" w:asciiTheme="majorEastAsia" w:hAnsiTheme="majorEastAsia" w:eastAsiaTheme="majorEastAsia" w:cstheme="majorEastAsia"/>
          <w:color w:val="auto"/>
          <w:kern w:val="0"/>
          <w:sz w:val="32"/>
          <w:szCs w:val="32"/>
          <w:highlight w:val="none"/>
          <w:lang w:val="en-US" w:eastAsia="zh-CN"/>
        </w:rPr>
      </w:pPr>
    </w:p>
    <w:p>
      <w:pPr>
        <w:pStyle w:val="48"/>
        <w:rPr>
          <w:rFonts w:hint="eastAsia" w:asciiTheme="majorEastAsia" w:hAnsiTheme="majorEastAsia" w:eastAsiaTheme="majorEastAsia" w:cstheme="majorEastAsia"/>
          <w:color w:val="auto"/>
          <w:kern w:val="0"/>
          <w:sz w:val="32"/>
          <w:szCs w:val="32"/>
          <w:highlight w:val="none"/>
          <w:lang w:val="en-US" w:eastAsia="zh-CN"/>
        </w:rPr>
      </w:pPr>
    </w:p>
    <w:p>
      <w:pPr>
        <w:tabs>
          <w:tab w:val="left" w:pos="1050"/>
          <w:tab w:val="right" w:leader="dot" w:pos="9402"/>
        </w:tabs>
        <w:spacing w:line="520" w:lineRule="exact"/>
        <w:jc w:val="center"/>
        <w:outlineLvl w:val="0"/>
        <w:rPr>
          <w:rFonts w:ascii="宋体" w:hAnsi="宋体" w:eastAsia="宋体"/>
          <w:b/>
          <w:bCs/>
          <w:color w:val="auto"/>
          <w:w w:val="80"/>
          <w:sz w:val="44"/>
          <w:szCs w:val="44"/>
          <w:highlight w:val="none"/>
        </w:rPr>
      </w:pPr>
      <w:r>
        <w:rPr>
          <w:rFonts w:hint="eastAsia" w:ascii="宋体" w:hAnsi="宋体" w:eastAsia="宋体" w:cs="宋体"/>
          <w:b/>
          <w:bCs/>
          <w:color w:val="auto"/>
          <w:w w:val="80"/>
          <w:sz w:val="44"/>
          <w:szCs w:val="44"/>
          <w:highlight w:val="none"/>
        </w:rPr>
        <w:t>目</w:t>
      </w:r>
      <w:r>
        <w:rPr>
          <w:rFonts w:ascii="宋体" w:hAnsi="宋体" w:eastAsia="宋体" w:cs="宋体"/>
          <w:b/>
          <w:bCs/>
          <w:color w:val="auto"/>
          <w:w w:val="80"/>
          <w:sz w:val="44"/>
          <w:szCs w:val="44"/>
          <w:highlight w:val="none"/>
        </w:rPr>
        <w:t xml:space="preserve">  </w:t>
      </w:r>
      <w:r>
        <w:rPr>
          <w:rFonts w:hint="eastAsia" w:ascii="宋体" w:hAnsi="宋体" w:eastAsia="宋体" w:cs="宋体"/>
          <w:b/>
          <w:bCs/>
          <w:color w:val="auto"/>
          <w:w w:val="80"/>
          <w:sz w:val="44"/>
          <w:szCs w:val="44"/>
          <w:highlight w:val="none"/>
        </w:rPr>
        <w:t>录</w:t>
      </w:r>
    </w:p>
    <w:p>
      <w:pPr>
        <w:pStyle w:val="9"/>
        <w:tabs>
          <w:tab w:val="left" w:pos="5990"/>
        </w:tabs>
        <w:overflowPunct w:val="0"/>
        <w:ind w:firstLine="0"/>
        <w:rPr>
          <w:rFonts w:ascii="仿宋_GB2312" w:hAnsi="宋体" w:eastAsia="仿宋_GB2312"/>
          <w:color w:val="auto"/>
          <w:sz w:val="30"/>
          <w:szCs w:val="30"/>
          <w:highlight w:val="none"/>
        </w:rPr>
      </w:pPr>
      <w:r>
        <w:rPr>
          <w:rFonts w:ascii="仿宋_GB2312" w:hAnsi="宋体" w:eastAsia="仿宋_GB2312"/>
          <w:color w:val="auto"/>
          <w:sz w:val="30"/>
          <w:szCs w:val="30"/>
          <w:highlight w:val="none"/>
        </w:rPr>
        <w:tab/>
      </w:r>
    </w:p>
    <w:p>
      <w:pPr>
        <w:pStyle w:val="32"/>
        <w:tabs>
          <w:tab w:val="right" w:leader="dot" w:pos="9072"/>
        </w:tabs>
        <w:spacing w:line="1200" w:lineRule="exact"/>
        <w:ind w:right="-2"/>
        <w:jc w:val="center"/>
        <w:rPr>
          <w:rFonts w:ascii="宋体" w:hAnsi="宋体" w:eastAsia="宋体"/>
          <w:color w:val="auto"/>
          <w:sz w:val="30"/>
          <w:szCs w:val="30"/>
          <w:highlight w:val="none"/>
        </w:rPr>
      </w:pPr>
      <w:r>
        <w:rPr>
          <w:rFonts w:eastAsia="仿宋_GB2312"/>
          <w:b/>
          <w:bCs/>
          <w:color w:val="auto"/>
          <w:sz w:val="30"/>
          <w:szCs w:val="30"/>
          <w:highlight w:val="none"/>
        </w:rPr>
        <w:fldChar w:fldCharType="begin"/>
      </w:r>
      <w:r>
        <w:rPr>
          <w:rFonts w:eastAsia="仿宋_GB2312"/>
          <w:b/>
          <w:bCs/>
          <w:color w:val="auto"/>
          <w:sz w:val="30"/>
          <w:szCs w:val="30"/>
          <w:highlight w:val="none"/>
        </w:rPr>
        <w:instrText xml:space="preserve"> TOC \o "1-1"</w:instrText>
      </w:r>
      <w:r>
        <w:rPr>
          <w:rFonts w:eastAsia="仿宋_GB2312"/>
          <w:b/>
          <w:bCs/>
          <w:color w:val="auto"/>
          <w:sz w:val="30"/>
          <w:szCs w:val="30"/>
          <w:highlight w:val="none"/>
        </w:rPr>
        <w:fldChar w:fldCharType="separate"/>
      </w:r>
      <w:r>
        <w:rPr>
          <w:rFonts w:hint="eastAsia" w:ascii="宋体" w:hAnsi="宋体" w:eastAsia="宋体" w:cs="宋体"/>
          <w:color w:val="auto"/>
          <w:sz w:val="30"/>
          <w:szCs w:val="30"/>
          <w:highlight w:val="none"/>
        </w:rPr>
        <w:t>第一章</w:t>
      </w:r>
      <w:r>
        <w:rPr>
          <w:rFonts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rPr>
        <w:t>竞争性磋商公告</w:t>
      </w:r>
      <w:r>
        <w:rPr>
          <w:rFonts w:ascii="宋体" w:hAnsi="宋体" w:eastAsia="宋体"/>
          <w:color w:val="auto"/>
          <w:sz w:val="30"/>
          <w:szCs w:val="30"/>
          <w:highlight w:val="none"/>
        </w:rPr>
        <w:tab/>
      </w:r>
      <w:r>
        <w:rPr>
          <w:rFonts w:ascii="宋体" w:hAnsi="宋体" w:eastAsia="宋体" w:cs="宋体"/>
          <w:color w:val="auto"/>
          <w:sz w:val="30"/>
          <w:szCs w:val="30"/>
          <w:highlight w:val="none"/>
        </w:rPr>
        <w:t>1</w:t>
      </w:r>
    </w:p>
    <w:p>
      <w:pPr>
        <w:pStyle w:val="32"/>
        <w:tabs>
          <w:tab w:val="right" w:leader="dot" w:pos="9072"/>
        </w:tabs>
        <w:spacing w:line="1200" w:lineRule="exact"/>
        <w:ind w:right="-2"/>
        <w:jc w:val="center"/>
        <w:rPr>
          <w:rFonts w:hint="eastAsia" w:ascii="宋体" w:hAnsi="宋体" w:eastAsia="宋体"/>
          <w:color w:val="auto"/>
          <w:sz w:val="30"/>
          <w:szCs w:val="30"/>
          <w:highlight w:val="none"/>
          <w:lang w:val="en-US" w:eastAsia="zh-CN"/>
        </w:rPr>
      </w:pPr>
      <w:r>
        <w:rPr>
          <w:rFonts w:hint="eastAsia" w:ascii="宋体" w:hAnsi="宋体" w:eastAsia="宋体" w:cs="宋体"/>
          <w:color w:val="auto"/>
          <w:sz w:val="30"/>
          <w:szCs w:val="30"/>
          <w:highlight w:val="none"/>
        </w:rPr>
        <w:t>第二章</w:t>
      </w:r>
      <w:r>
        <w:rPr>
          <w:rFonts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rPr>
        <w:t>供应商须知</w:t>
      </w:r>
      <w:r>
        <w:rPr>
          <w:rFonts w:ascii="宋体" w:hAnsi="宋体" w:eastAsia="宋体"/>
          <w:color w:val="auto"/>
          <w:sz w:val="30"/>
          <w:szCs w:val="30"/>
          <w:highlight w:val="none"/>
        </w:rPr>
        <w:tab/>
      </w:r>
      <w:r>
        <w:rPr>
          <w:rFonts w:hint="eastAsia" w:ascii="宋体" w:hAnsi="宋体" w:eastAsia="宋体"/>
          <w:color w:val="auto"/>
          <w:sz w:val="30"/>
          <w:szCs w:val="30"/>
          <w:highlight w:val="none"/>
          <w:lang w:val="en-US" w:eastAsia="zh-CN"/>
        </w:rPr>
        <w:t>3</w:t>
      </w:r>
    </w:p>
    <w:p>
      <w:pPr>
        <w:pStyle w:val="32"/>
        <w:tabs>
          <w:tab w:val="right" w:leader="dot" w:pos="9072"/>
        </w:tabs>
        <w:spacing w:line="1200" w:lineRule="exact"/>
        <w:ind w:right="-2"/>
        <w:jc w:val="center"/>
        <w:rPr>
          <w:rFonts w:ascii="宋体" w:hAnsi="宋体" w:eastAsia="宋体"/>
          <w:color w:val="auto"/>
          <w:sz w:val="30"/>
          <w:szCs w:val="30"/>
          <w:highlight w:val="none"/>
        </w:rPr>
      </w:pPr>
      <w:r>
        <w:rPr>
          <w:rFonts w:hint="eastAsia" w:ascii="宋体" w:hAnsi="宋体" w:eastAsia="宋体" w:cs="宋体"/>
          <w:color w:val="auto"/>
          <w:sz w:val="30"/>
          <w:szCs w:val="30"/>
          <w:highlight w:val="none"/>
        </w:rPr>
        <w:t>第三章</w:t>
      </w:r>
      <w:r>
        <w:rPr>
          <w:rFonts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rPr>
        <w:t>项目需求</w:t>
      </w:r>
      <w:r>
        <w:rPr>
          <w:rFonts w:ascii="宋体" w:hAnsi="宋体" w:eastAsia="宋体"/>
          <w:color w:val="auto"/>
          <w:sz w:val="30"/>
          <w:szCs w:val="30"/>
          <w:highlight w:val="none"/>
        </w:rPr>
        <w:tab/>
      </w:r>
      <w:r>
        <w:rPr>
          <w:rFonts w:ascii="宋体" w:hAnsi="宋体" w:eastAsia="宋体" w:cs="宋体"/>
          <w:color w:val="auto"/>
          <w:sz w:val="30"/>
          <w:szCs w:val="30"/>
          <w:highlight w:val="none"/>
        </w:rPr>
        <w:t>8</w:t>
      </w:r>
    </w:p>
    <w:p>
      <w:pPr>
        <w:pStyle w:val="32"/>
        <w:tabs>
          <w:tab w:val="right" w:leader="dot" w:pos="9072"/>
        </w:tabs>
        <w:spacing w:line="1200" w:lineRule="exact"/>
        <w:ind w:right="-2"/>
        <w:jc w:val="center"/>
        <w:rPr>
          <w:rFonts w:hint="eastAsia" w:ascii="宋体" w:hAnsi="宋体" w:eastAsia="宋体"/>
          <w:color w:val="auto"/>
          <w:sz w:val="30"/>
          <w:szCs w:val="30"/>
          <w:highlight w:val="none"/>
          <w:lang w:val="en-US" w:eastAsia="zh-CN"/>
        </w:rPr>
      </w:pPr>
      <w:r>
        <w:rPr>
          <w:rFonts w:hint="eastAsia" w:ascii="宋体" w:hAnsi="宋体" w:eastAsia="宋体" w:cs="宋体"/>
          <w:color w:val="auto"/>
          <w:sz w:val="30"/>
          <w:szCs w:val="30"/>
          <w:highlight w:val="none"/>
        </w:rPr>
        <w:t>第四章</w:t>
      </w:r>
      <w:r>
        <w:rPr>
          <w:rFonts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rPr>
        <w:t>评审程序和方法</w:t>
      </w:r>
      <w:r>
        <w:rPr>
          <w:rFonts w:ascii="宋体" w:hAnsi="宋体" w:eastAsia="宋体"/>
          <w:color w:val="auto"/>
          <w:sz w:val="30"/>
          <w:szCs w:val="30"/>
          <w:highlight w:val="none"/>
        </w:rPr>
        <w:tab/>
      </w:r>
      <w:r>
        <w:rPr>
          <w:rFonts w:ascii="宋体" w:hAnsi="宋体" w:eastAsia="宋体" w:cs="宋体"/>
          <w:color w:val="auto"/>
          <w:sz w:val="30"/>
          <w:szCs w:val="30"/>
          <w:highlight w:val="none"/>
        </w:rPr>
        <w:t>1</w:t>
      </w:r>
      <w:r>
        <w:rPr>
          <w:rFonts w:hint="eastAsia" w:ascii="宋体" w:hAnsi="宋体" w:eastAsia="宋体" w:cs="宋体"/>
          <w:color w:val="auto"/>
          <w:sz w:val="30"/>
          <w:szCs w:val="30"/>
          <w:highlight w:val="none"/>
          <w:lang w:val="en-US" w:eastAsia="zh-CN"/>
        </w:rPr>
        <w:t>0</w:t>
      </w:r>
    </w:p>
    <w:p>
      <w:pPr>
        <w:pStyle w:val="32"/>
        <w:tabs>
          <w:tab w:val="right" w:leader="dot" w:pos="9072"/>
        </w:tabs>
        <w:spacing w:line="1200" w:lineRule="exact"/>
        <w:ind w:right="-2"/>
        <w:jc w:val="center"/>
        <w:rPr>
          <w:rFonts w:hint="default" w:ascii="宋体" w:hAnsi="宋体" w:eastAsia="宋体"/>
          <w:color w:val="auto"/>
          <w:sz w:val="30"/>
          <w:szCs w:val="30"/>
          <w:highlight w:val="none"/>
          <w:lang w:val="en-US" w:eastAsia="zh-CN"/>
        </w:rPr>
      </w:pPr>
      <w:r>
        <w:rPr>
          <w:rFonts w:hint="eastAsia" w:ascii="宋体" w:hAnsi="宋体" w:eastAsia="宋体" w:cs="宋体"/>
          <w:color w:val="auto"/>
          <w:sz w:val="30"/>
          <w:szCs w:val="30"/>
          <w:highlight w:val="none"/>
        </w:rPr>
        <w:t>第五章</w:t>
      </w:r>
      <w:r>
        <w:rPr>
          <w:rFonts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rPr>
        <w:t>合同授予及主要条款</w:t>
      </w:r>
      <w:r>
        <w:rPr>
          <w:rFonts w:ascii="宋体" w:hAnsi="宋体" w:eastAsia="宋体"/>
          <w:color w:val="auto"/>
          <w:sz w:val="30"/>
          <w:szCs w:val="30"/>
          <w:highlight w:val="none"/>
        </w:rPr>
        <w:tab/>
      </w:r>
      <w:r>
        <w:rPr>
          <w:rFonts w:hint="eastAsia" w:ascii="宋体" w:hAnsi="宋体" w:eastAsia="宋体"/>
          <w:color w:val="auto"/>
          <w:sz w:val="30"/>
          <w:szCs w:val="30"/>
          <w:highlight w:val="none"/>
          <w:lang w:val="en-US" w:eastAsia="zh-CN"/>
        </w:rPr>
        <w:t>17</w:t>
      </w:r>
    </w:p>
    <w:p>
      <w:pPr>
        <w:pStyle w:val="32"/>
        <w:tabs>
          <w:tab w:val="right" w:leader="dot" w:pos="9072"/>
        </w:tabs>
        <w:spacing w:line="1200" w:lineRule="exact"/>
        <w:ind w:right="-2"/>
        <w:jc w:val="center"/>
        <w:rPr>
          <w:rFonts w:hint="default" w:ascii="宋体" w:hAnsi="宋体" w:eastAsia="宋体"/>
          <w:color w:val="auto"/>
          <w:sz w:val="30"/>
          <w:szCs w:val="30"/>
          <w:highlight w:val="none"/>
          <w:lang w:val="en-US" w:eastAsia="zh-CN"/>
        </w:rPr>
      </w:pPr>
      <w:r>
        <w:rPr>
          <w:rFonts w:hint="eastAsia" w:ascii="宋体" w:hAnsi="宋体" w:eastAsia="宋体" w:cs="宋体"/>
          <w:color w:val="auto"/>
          <w:sz w:val="30"/>
          <w:szCs w:val="30"/>
          <w:highlight w:val="none"/>
        </w:rPr>
        <w:t>第六章</w:t>
      </w:r>
      <w:r>
        <w:rPr>
          <w:rFonts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rPr>
        <w:t>履约验收及付款</w:t>
      </w:r>
      <w:r>
        <w:rPr>
          <w:rFonts w:ascii="宋体" w:hAnsi="宋体" w:eastAsia="宋体"/>
          <w:color w:val="auto"/>
          <w:sz w:val="30"/>
          <w:szCs w:val="30"/>
          <w:highlight w:val="none"/>
        </w:rPr>
        <w:tab/>
      </w:r>
      <w:r>
        <w:rPr>
          <w:rFonts w:hint="eastAsia" w:ascii="宋体" w:hAnsi="宋体" w:eastAsia="宋体"/>
          <w:color w:val="auto"/>
          <w:sz w:val="30"/>
          <w:szCs w:val="30"/>
          <w:highlight w:val="none"/>
          <w:lang w:val="en-US" w:eastAsia="zh-CN"/>
        </w:rPr>
        <w:t>18</w:t>
      </w:r>
    </w:p>
    <w:p>
      <w:pPr>
        <w:pStyle w:val="32"/>
        <w:tabs>
          <w:tab w:val="right" w:leader="dot" w:pos="9072"/>
        </w:tabs>
        <w:spacing w:line="1200" w:lineRule="exact"/>
        <w:ind w:right="-2"/>
        <w:jc w:val="center"/>
        <w:rPr>
          <w:rFonts w:hint="default" w:ascii="宋体" w:hAnsi="宋体" w:eastAsia="宋体"/>
          <w:color w:val="auto"/>
          <w:sz w:val="30"/>
          <w:szCs w:val="30"/>
          <w:highlight w:val="none"/>
          <w:lang w:val="en-US" w:eastAsia="zh-CN"/>
        </w:rPr>
      </w:pPr>
      <w:r>
        <w:rPr>
          <w:rFonts w:hint="eastAsia" w:ascii="宋体" w:hAnsi="宋体" w:eastAsia="宋体" w:cs="宋体"/>
          <w:color w:val="auto"/>
          <w:sz w:val="30"/>
          <w:szCs w:val="30"/>
          <w:highlight w:val="none"/>
        </w:rPr>
        <w:t>第七章</w:t>
      </w:r>
      <w:r>
        <w:rPr>
          <w:rFonts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rPr>
        <w:t>质疑与投诉</w:t>
      </w:r>
      <w:r>
        <w:rPr>
          <w:rFonts w:ascii="宋体" w:hAnsi="宋体" w:eastAsia="宋体"/>
          <w:color w:val="auto"/>
          <w:sz w:val="30"/>
          <w:szCs w:val="30"/>
          <w:highlight w:val="none"/>
        </w:rPr>
        <w:tab/>
      </w:r>
      <w:r>
        <w:rPr>
          <w:rFonts w:hint="eastAsia" w:ascii="宋体" w:hAnsi="宋体" w:eastAsia="宋体"/>
          <w:color w:val="auto"/>
          <w:sz w:val="30"/>
          <w:szCs w:val="30"/>
          <w:highlight w:val="none"/>
          <w:lang w:val="en-US" w:eastAsia="zh-CN"/>
        </w:rPr>
        <w:t>19</w:t>
      </w:r>
    </w:p>
    <w:p>
      <w:pPr>
        <w:pStyle w:val="32"/>
        <w:tabs>
          <w:tab w:val="right" w:leader="dot" w:pos="9072"/>
        </w:tabs>
        <w:spacing w:line="1200" w:lineRule="exact"/>
        <w:ind w:right="-2"/>
        <w:jc w:val="center"/>
        <w:rPr>
          <w:rFonts w:hint="eastAsia" w:ascii="宋体" w:hAnsi="宋体" w:eastAsia="宋体"/>
          <w:color w:val="auto"/>
          <w:sz w:val="30"/>
          <w:szCs w:val="30"/>
          <w:highlight w:val="none"/>
          <w:lang w:val="en-US" w:eastAsia="zh-CN"/>
        </w:rPr>
      </w:pPr>
      <w:r>
        <w:rPr>
          <w:rFonts w:hint="eastAsia" w:ascii="宋体" w:hAnsi="宋体" w:eastAsia="宋体" w:cs="宋体"/>
          <w:color w:val="auto"/>
          <w:sz w:val="30"/>
          <w:szCs w:val="30"/>
          <w:highlight w:val="none"/>
        </w:rPr>
        <w:t>第八章</w:t>
      </w:r>
      <w:r>
        <w:rPr>
          <w:rFonts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rPr>
        <w:t>磋商响应文件的组成及格式</w:t>
      </w:r>
      <w:r>
        <w:rPr>
          <w:rFonts w:ascii="宋体" w:hAnsi="宋体" w:eastAsia="宋体"/>
          <w:color w:val="auto"/>
          <w:sz w:val="30"/>
          <w:szCs w:val="30"/>
          <w:highlight w:val="none"/>
        </w:rPr>
        <w:tab/>
      </w:r>
      <w:r>
        <w:rPr>
          <w:rFonts w:ascii="宋体" w:hAnsi="宋体" w:eastAsia="宋体" w:cs="宋体"/>
          <w:color w:val="auto"/>
          <w:sz w:val="30"/>
          <w:szCs w:val="30"/>
          <w:highlight w:val="none"/>
        </w:rPr>
        <w:t>2</w:t>
      </w:r>
      <w:r>
        <w:rPr>
          <w:rFonts w:hint="eastAsia" w:ascii="宋体" w:hAnsi="宋体" w:eastAsia="宋体" w:cs="宋体"/>
          <w:color w:val="auto"/>
          <w:sz w:val="30"/>
          <w:szCs w:val="30"/>
          <w:highlight w:val="none"/>
          <w:lang w:val="en-US" w:eastAsia="zh-CN"/>
        </w:rPr>
        <w:t>1</w:t>
      </w:r>
    </w:p>
    <w:p>
      <w:pPr>
        <w:tabs>
          <w:tab w:val="right" w:leader="dot" w:pos="9072"/>
        </w:tabs>
        <w:spacing w:line="1200" w:lineRule="exact"/>
        <w:ind w:right="-2"/>
        <w:jc w:val="center"/>
        <w:rPr>
          <w:color w:val="auto"/>
          <w:sz w:val="30"/>
          <w:szCs w:val="30"/>
          <w:highlight w:val="none"/>
        </w:rPr>
      </w:pPr>
      <w:r>
        <w:rPr>
          <w:color w:val="auto"/>
          <w:highlight w:val="none"/>
        </w:rPr>
        <w:pict>
          <v:shape id="_x0000_s1029" o:spid="_x0000_s1029" o:spt="202" type="#_x0000_t202" style="position:absolute;left:0pt;margin-left:218.6pt;margin-top:120.1pt;height:50pt;width:46.5pt;z-index:251659264;mso-width-relative:page;mso-height-relative:page;" stroked="f" coordsize="21600,21600">
            <v:path/>
            <v:fill focussize="0,0"/>
            <v:stroke on="f" joinstyle="miter"/>
            <v:imagedata o:title=""/>
            <o:lock v:ext="edit"/>
            <v:textbox>
              <w:txbxContent>
                <w:p/>
              </w:txbxContent>
            </v:textbox>
          </v:shape>
        </w:pict>
      </w:r>
    </w:p>
    <w:p>
      <w:pPr>
        <w:pStyle w:val="9"/>
        <w:tabs>
          <w:tab w:val="right" w:leader="dot" w:pos="9072"/>
        </w:tabs>
        <w:overflowPunct w:val="0"/>
        <w:spacing w:line="1200" w:lineRule="exact"/>
        <w:ind w:right="-2" w:firstLine="0"/>
        <w:jc w:val="center"/>
        <w:rPr>
          <w:rFonts w:eastAsia="仿宋_GB2312"/>
          <w:b/>
          <w:bCs/>
          <w:color w:val="auto"/>
          <w:sz w:val="30"/>
          <w:szCs w:val="30"/>
          <w:highlight w:val="none"/>
        </w:rPr>
        <w:sectPr>
          <w:footerReference r:id="rId3" w:type="first"/>
          <w:pgSz w:w="11906" w:h="16838"/>
          <w:pgMar w:top="1276" w:right="1474" w:bottom="709" w:left="1418" w:header="851" w:footer="448" w:gutter="0"/>
          <w:pgNumType w:fmt="decimal" w:start="1"/>
          <w:cols w:space="720" w:num="1"/>
          <w:titlePg/>
          <w:docGrid w:linePitch="380" w:charSpace="-5735"/>
        </w:sectPr>
      </w:pPr>
      <w:r>
        <w:rPr>
          <w:color w:val="auto"/>
          <w:highlight w:val="none"/>
        </w:rPr>
        <w:pict>
          <v:shape id="_x0000_s1030" o:spid="_x0000_s1030" o:spt="202" type="#_x0000_t202" style="position:absolute;left:0pt;margin-left:206.6pt;margin-top:681pt;height:28.5pt;width:46.5pt;z-index:251659264;mso-width-relative:page;mso-height-relative:page;" stroked="f" coordsize="21600,21600">
            <v:path/>
            <v:fill focussize="0,0"/>
            <v:stroke on="f" joinstyle="miter"/>
            <v:imagedata o:title=""/>
            <o:lock v:ext="edit"/>
            <v:textbox>
              <w:txbxContent>
                <w:p/>
              </w:txbxContent>
            </v:textbox>
          </v:shape>
        </w:pict>
      </w:r>
      <w:r>
        <w:rPr>
          <w:rFonts w:eastAsia="仿宋_GB2312"/>
          <w:b/>
          <w:bCs/>
          <w:color w:val="auto"/>
          <w:sz w:val="30"/>
          <w:szCs w:val="30"/>
          <w:highlight w:val="none"/>
        </w:rPr>
        <w:fldChar w:fldCharType="end"/>
      </w:r>
    </w:p>
    <w:p>
      <w:pPr>
        <w:snapToGrid w:val="0"/>
        <w:spacing w:line="36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尊敬的投标供应商（以下称供应商）：</w:t>
      </w:r>
    </w:p>
    <w:p>
      <w:pPr>
        <w:snapToGrid w:val="0"/>
        <w:spacing w:line="360" w:lineRule="exact"/>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rPr>
        <w:t>欢迎参加本采购项目的竞争性磋商。为了保证本项目磋商顺利进行，请在制作磋商响应文件之前，仔细阅读本竞争性磋商文件的各项条款，并按要求制作和递交磋商响应文件。谢谢合作！</w:t>
      </w:r>
    </w:p>
    <w:p>
      <w:pPr>
        <w:tabs>
          <w:tab w:val="left" w:pos="1050"/>
          <w:tab w:val="right" w:leader="dot" w:pos="9402"/>
        </w:tabs>
        <w:spacing w:line="600" w:lineRule="exact"/>
        <w:jc w:val="center"/>
        <w:outlineLvl w:val="0"/>
        <w:rPr>
          <w:rFonts w:ascii="宋体" w:hAnsi="宋体" w:eastAsia="宋体"/>
          <w:b/>
          <w:bCs/>
          <w:color w:val="auto"/>
          <w:w w:val="80"/>
          <w:sz w:val="36"/>
          <w:szCs w:val="36"/>
          <w:highlight w:val="none"/>
        </w:rPr>
      </w:pPr>
      <w:bookmarkStart w:id="0" w:name="_Toc363573853"/>
      <w:r>
        <w:rPr>
          <w:rFonts w:hint="eastAsia" w:ascii="宋体" w:hAnsi="宋体" w:eastAsia="宋体" w:cs="宋体"/>
          <w:b/>
          <w:bCs/>
          <w:color w:val="auto"/>
          <w:w w:val="80"/>
          <w:sz w:val="36"/>
          <w:szCs w:val="36"/>
          <w:highlight w:val="none"/>
        </w:rPr>
        <w:t>第一章</w:t>
      </w:r>
      <w:r>
        <w:rPr>
          <w:rFonts w:ascii="宋体" w:hAnsi="宋体" w:eastAsia="宋体" w:cs="宋体"/>
          <w:b/>
          <w:bCs/>
          <w:color w:val="auto"/>
          <w:w w:val="80"/>
          <w:sz w:val="36"/>
          <w:szCs w:val="36"/>
          <w:highlight w:val="none"/>
        </w:rPr>
        <w:t xml:space="preserve">  </w:t>
      </w:r>
      <w:bookmarkEnd w:id="0"/>
      <w:r>
        <w:rPr>
          <w:rFonts w:hint="eastAsia" w:ascii="宋体" w:hAnsi="宋体" w:eastAsia="宋体" w:cs="宋体"/>
          <w:b/>
          <w:bCs/>
          <w:color w:val="auto"/>
          <w:w w:val="80"/>
          <w:sz w:val="36"/>
          <w:szCs w:val="36"/>
          <w:highlight w:val="none"/>
        </w:rPr>
        <w:t>竞争性磋商公告</w:t>
      </w:r>
    </w:p>
    <w:p>
      <w:pPr>
        <w:snapToGrid w:val="0"/>
        <w:spacing w:line="420" w:lineRule="exact"/>
        <w:ind w:left="-3" w:leftChars="-1" w:firstLine="429"/>
        <w:rPr>
          <w:rFonts w:ascii="宋体" w:hAnsi="宋体" w:eastAsia="宋体"/>
          <w:color w:val="auto"/>
          <w:sz w:val="24"/>
          <w:szCs w:val="24"/>
          <w:highlight w:val="none"/>
        </w:rPr>
      </w:pPr>
      <w:bookmarkStart w:id="1" w:name="_Hlk524431833"/>
      <w:bookmarkStart w:id="2" w:name="_Hlk528075726"/>
      <w:bookmarkStart w:id="3" w:name="_Hlk531620465"/>
      <w:r>
        <w:rPr>
          <w:rFonts w:hint="eastAsia" w:ascii="宋体" w:hAnsi="宋体" w:eastAsia="宋体" w:cs="宋体"/>
          <w:color w:val="auto"/>
          <w:sz w:val="24"/>
          <w:szCs w:val="24"/>
          <w:highlight w:val="none"/>
          <w:u w:val="single"/>
          <w:lang w:eastAsia="zh-CN"/>
        </w:rPr>
        <w:t>东方华星建设管理（江苏）有限公司</w:t>
      </w:r>
      <w:r>
        <w:rPr>
          <w:rFonts w:hint="eastAsia" w:ascii="宋体" w:hAnsi="宋体" w:eastAsia="宋体" w:cs="宋体"/>
          <w:color w:val="auto"/>
          <w:sz w:val="24"/>
          <w:szCs w:val="24"/>
          <w:highlight w:val="none"/>
        </w:rPr>
        <w:t>（以下称采购代理机构）受</w:t>
      </w:r>
      <w:r>
        <w:rPr>
          <w:rFonts w:hint="eastAsia" w:ascii="宋体" w:hAnsi="宋体" w:eastAsia="宋体" w:cs="宋体"/>
          <w:color w:val="auto"/>
          <w:sz w:val="24"/>
          <w:szCs w:val="24"/>
          <w:highlight w:val="none"/>
          <w:u w:val="single"/>
        </w:rPr>
        <w:t>南通</w:t>
      </w:r>
      <w:r>
        <w:rPr>
          <w:rFonts w:hint="eastAsia" w:ascii="宋体" w:hAnsi="宋体" w:eastAsia="宋体" w:cs="宋体"/>
          <w:color w:val="auto"/>
          <w:sz w:val="24"/>
          <w:szCs w:val="24"/>
          <w:highlight w:val="none"/>
          <w:u w:val="single"/>
          <w:lang w:val="en-US" w:eastAsia="zh-CN"/>
        </w:rPr>
        <w:t>市委老干部局</w:t>
      </w:r>
      <w:r>
        <w:rPr>
          <w:rFonts w:hint="eastAsia" w:ascii="宋体" w:hAnsi="宋体" w:eastAsia="宋体" w:cs="宋体"/>
          <w:color w:val="auto"/>
          <w:sz w:val="24"/>
          <w:szCs w:val="24"/>
          <w:highlight w:val="none"/>
        </w:rPr>
        <w:t>（以下称采购人）的委托，就</w:t>
      </w:r>
      <w:r>
        <w:rPr>
          <w:rFonts w:hint="eastAsia" w:ascii="宋体" w:hAnsi="宋体" w:eastAsia="宋体" w:cs="宋体"/>
          <w:color w:val="auto"/>
          <w:sz w:val="24"/>
          <w:szCs w:val="24"/>
          <w:highlight w:val="none"/>
          <w:u w:val="single"/>
          <w:lang w:eastAsia="zh-CN"/>
        </w:rPr>
        <w:t>南通市委老干部局视频拍摄项目</w:t>
      </w:r>
      <w:r>
        <w:rPr>
          <w:rFonts w:hint="eastAsia" w:ascii="宋体" w:hAnsi="宋体" w:eastAsia="宋体" w:cs="宋体"/>
          <w:color w:val="auto"/>
          <w:sz w:val="24"/>
          <w:szCs w:val="24"/>
          <w:highlight w:val="none"/>
        </w:rPr>
        <w:t>组织竞争性磋商采购，诚邀符合条件的供应商参加该项目的磋商响应。</w:t>
      </w:r>
    </w:p>
    <w:p>
      <w:pPr>
        <w:spacing w:line="420" w:lineRule="exact"/>
        <w:ind w:firstLine="482" w:firstLineChars="200"/>
        <w:outlineLvl w:val="1"/>
        <w:rPr>
          <w:rFonts w:ascii="宋体" w:hAnsi="宋体" w:eastAsia="宋体"/>
          <w:color w:val="auto"/>
          <w:sz w:val="24"/>
          <w:szCs w:val="24"/>
          <w:highlight w:val="none"/>
        </w:rPr>
      </w:pPr>
      <w:r>
        <w:rPr>
          <w:rFonts w:hint="eastAsia" w:ascii="宋体" w:hAnsi="宋体" w:eastAsia="宋体" w:cs="宋体"/>
          <w:b/>
          <w:bCs/>
          <w:color w:val="auto"/>
          <w:sz w:val="24"/>
          <w:szCs w:val="24"/>
          <w:highlight w:val="none"/>
        </w:rPr>
        <w:t>一、项目名称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南通市委老干部局视频拍摄项目</w:t>
      </w:r>
      <w:r>
        <w:rPr>
          <w:rFonts w:hint="eastAsia" w:ascii="宋体" w:hAnsi="宋体" w:eastAsia="宋体" w:cs="宋体"/>
          <w:color w:val="auto"/>
          <w:sz w:val="24"/>
          <w:szCs w:val="24"/>
          <w:highlight w:val="none"/>
        </w:rPr>
        <w:t>；</w:t>
      </w:r>
    </w:p>
    <w:p>
      <w:pPr>
        <w:spacing w:line="420" w:lineRule="exact"/>
        <w:ind w:firstLine="482" w:firstLineChars="200"/>
        <w:outlineLvl w:val="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二、项目预算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rPr>
        <w:t>万元，投标价不得超过项目预算，超过为无效投标；</w:t>
      </w:r>
    </w:p>
    <w:p>
      <w:pPr>
        <w:spacing w:line="420" w:lineRule="exact"/>
        <w:ind w:firstLine="482" w:firstLineChars="200"/>
        <w:outlineLvl w:val="1"/>
        <w:rPr>
          <w:rFonts w:ascii="宋体" w:hAnsi="宋体" w:eastAsia="宋体"/>
          <w:color w:val="auto"/>
          <w:sz w:val="24"/>
          <w:szCs w:val="24"/>
          <w:highlight w:val="none"/>
        </w:rPr>
      </w:pPr>
      <w:r>
        <w:rPr>
          <w:rFonts w:hint="eastAsia" w:ascii="宋体" w:hAnsi="宋体" w:eastAsia="宋体" w:cs="宋体"/>
          <w:b/>
          <w:bCs/>
          <w:color w:val="auto"/>
          <w:sz w:val="24"/>
          <w:szCs w:val="24"/>
          <w:highlight w:val="none"/>
        </w:rPr>
        <w:t>三、项目需求</w:t>
      </w:r>
      <w:r>
        <w:rPr>
          <w:rFonts w:hint="eastAsia" w:ascii="宋体" w:hAnsi="宋体" w:eastAsia="宋体" w:cs="宋体"/>
          <w:color w:val="auto"/>
          <w:sz w:val="24"/>
          <w:szCs w:val="24"/>
          <w:highlight w:val="none"/>
        </w:rPr>
        <w:t>：具体见本磋商文件第三章；</w:t>
      </w:r>
    </w:p>
    <w:p>
      <w:pPr>
        <w:spacing w:line="420" w:lineRule="exact"/>
        <w:ind w:firstLine="482" w:firstLineChars="200"/>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四、供应商资格</w:t>
      </w:r>
    </w:p>
    <w:p>
      <w:pPr>
        <w:spacing w:line="420" w:lineRule="exact"/>
        <w:ind w:firstLine="480" w:firstLineChars="200"/>
        <w:outlineLvl w:val="1"/>
        <w:rPr>
          <w:rFonts w:ascii="宋体" w:hAnsi="宋体" w:eastAsia="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pacing w:line="420" w:lineRule="exact"/>
        <w:ind w:firstLine="480" w:firstLineChars="200"/>
        <w:outlineLvl w:val="1"/>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val="en-US" w:eastAsia="zh-CN"/>
        </w:rPr>
        <w:t>独立法人资格且具有</w:t>
      </w:r>
      <w:r>
        <w:rPr>
          <w:rFonts w:hint="eastAsia" w:ascii="宋体" w:hAnsi="宋体" w:eastAsia="宋体" w:cs="宋体"/>
          <w:color w:val="auto"/>
          <w:sz w:val="24"/>
          <w:szCs w:val="24"/>
          <w:highlight w:val="none"/>
        </w:rPr>
        <w:t>有效的营业执照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且经营范围包含本项目范围</w:t>
      </w:r>
      <w:r>
        <w:rPr>
          <w:rFonts w:hint="eastAsia" w:ascii="宋体" w:hAnsi="宋体" w:eastAsia="宋体" w:cs="宋体"/>
          <w:color w:val="auto"/>
          <w:sz w:val="24"/>
          <w:szCs w:val="24"/>
          <w:highlight w:val="none"/>
        </w:rPr>
        <w:t>。</w:t>
      </w:r>
    </w:p>
    <w:p>
      <w:pPr>
        <w:spacing w:line="420" w:lineRule="exact"/>
        <w:ind w:firstLine="480" w:firstLineChars="200"/>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3.供应商须具有独到的艺术理念和策划意识，能够满足采购人制作要求，具备策划、拍摄、设计、编剧、撰稿、配乐、灯光、后期制作等专业人才，分工明确，责任到人。</w:t>
      </w:r>
    </w:p>
    <w:p>
      <w:pPr>
        <w:pStyle w:val="48"/>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本项目不接受任何形式的联合体投标。</w:t>
      </w:r>
    </w:p>
    <w:p>
      <w:pPr>
        <w:pStyle w:val="48"/>
        <w:ind w:left="0" w:leftChars="0"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单位负责人为同一人或者存在直接控股、管理关系的不同供应商，不得同时参与同一采购项目相同标段的政府采购活动。</w:t>
      </w:r>
    </w:p>
    <w:p>
      <w:pPr>
        <w:spacing w:line="420" w:lineRule="exact"/>
        <w:ind w:firstLine="482" w:firstLineChars="200"/>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五、本公告发布网站：“中共南通市委老干部局”。凡涉及磋商文件的补充说明、澄清或修改，均以“中共南通市委老干部局”发布的信息为准。</w:t>
      </w:r>
    </w:p>
    <w:p>
      <w:pPr>
        <w:spacing w:line="420" w:lineRule="exact"/>
        <w:ind w:firstLine="482" w:firstLineChars="200"/>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六、磋商文件的获取</w:t>
      </w:r>
    </w:p>
    <w:p>
      <w:pPr>
        <w:spacing w:line="420" w:lineRule="exact"/>
        <w:ind w:firstLine="480" w:firstLineChars="200"/>
        <w:outlineLvl w:val="1"/>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时间：自公告发布之日起至开标截止时间。</w:t>
      </w:r>
    </w:p>
    <w:p>
      <w:pPr>
        <w:spacing w:line="420" w:lineRule="exact"/>
        <w:ind w:firstLine="480" w:firstLineChars="200"/>
        <w:outlineLvl w:val="1"/>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获取地</w:t>
      </w:r>
      <w:r>
        <w:rPr>
          <w:rFonts w:hint="eastAsia" w:ascii="宋体" w:hAnsi="宋体" w:eastAsia="宋体" w:cs="宋体"/>
          <w:b w:val="0"/>
          <w:bCs w:val="0"/>
          <w:color w:val="auto"/>
          <w:sz w:val="24"/>
          <w:szCs w:val="24"/>
          <w:highlight w:val="none"/>
          <w:lang w:val="en-US" w:eastAsia="zh-CN"/>
        </w:rPr>
        <w:t>点：</w:t>
      </w:r>
      <w:r>
        <w:rPr>
          <w:rFonts w:hint="eastAsia" w:ascii="宋体" w:hAnsi="宋体" w:eastAsia="宋体" w:cs="宋体"/>
          <w:b w:val="0"/>
          <w:bCs w:val="0"/>
          <w:color w:val="auto"/>
          <w:sz w:val="24"/>
          <w:szCs w:val="24"/>
          <w:highlight w:val="none"/>
        </w:rPr>
        <w:t>中共南通市委老干部局</w:t>
      </w:r>
      <w:r>
        <w:rPr>
          <w:rFonts w:hint="eastAsia" w:ascii="宋体" w:hAnsi="宋体" w:eastAsia="宋体" w:cs="宋体"/>
          <w:b w:val="0"/>
          <w:bCs w:val="0"/>
          <w:color w:val="auto"/>
          <w:sz w:val="24"/>
          <w:szCs w:val="24"/>
          <w:highlight w:val="none"/>
          <w:lang w:val="en-US" w:eastAsia="zh-CN"/>
        </w:rPr>
        <w:t>官网自行下载。</w:t>
      </w:r>
    </w:p>
    <w:p>
      <w:pPr>
        <w:spacing w:line="420" w:lineRule="exact"/>
        <w:ind w:firstLine="480" w:firstLineChars="200"/>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报名费：200元/份。</w:t>
      </w:r>
    </w:p>
    <w:p>
      <w:pPr>
        <w:spacing w:line="420" w:lineRule="exact"/>
        <w:ind w:firstLine="482" w:firstLineChars="200"/>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七、磋商响应文件的递交接收</w:t>
      </w:r>
    </w:p>
    <w:p>
      <w:pPr>
        <w:spacing w:line="420" w:lineRule="exact"/>
        <w:ind w:firstLine="480" w:firstLineChars="200"/>
        <w:outlineLvl w:val="1"/>
        <w:rPr>
          <w:rFonts w:ascii="宋体" w:hAnsi="宋体" w:eastAsia="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磋商响应文件接收截止及评审的时间为：</w:t>
      </w:r>
      <w:r>
        <w:rPr>
          <w:rFonts w:hint="eastAsia" w:ascii="宋体" w:hAnsi="宋体" w:eastAsia="宋体" w:cs="宋体"/>
          <w:color w:val="auto"/>
          <w:sz w:val="24"/>
          <w:szCs w:val="24"/>
          <w:highlight w:val="none"/>
          <w:lang w:val="en-US" w:eastAsia="zh-CN"/>
        </w:rPr>
        <w:t>2022年5月20 日上午9 时30分</w:t>
      </w:r>
      <w:r>
        <w:rPr>
          <w:rFonts w:hint="eastAsia" w:ascii="宋体" w:hAnsi="宋体" w:eastAsia="宋体" w:cs="宋体"/>
          <w:color w:val="auto"/>
          <w:sz w:val="24"/>
          <w:szCs w:val="24"/>
          <w:highlight w:val="none"/>
        </w:rPr>
        <w:t>。地址：南通市</w:t>
      </w:r>
      <w:r>
        <w:rPr>
          <w:rFonts w:hint="eastAsia" w:ascii="宋体" w:hAnsi="宋体" w:eastAsia="宋体" w:cs="宋体"/>
          <w:color w:val="auto"/>
          <w:sz w:val="24"/>
          <w:szCs w:val="24"/>
          <w:highlight w:val="none"/>
          <w:lang w:val="en-US" w:eastAsia="zh-CN"/>
        </w:rPr>
        <w:t>行政中心综合楼736会议室</w:t>
      </w:r>
      <w:r>
        <w:rPr>
          <w:rFonts w:hint="eastAsia" w:ascii="宋体" w:hAnsi="宋体" w:eastAsia="宋体" w:cs="宋体"/>
          <w:color w:val="auto"/>
          <w:sz w:val="24"/>
          <w:szCs w:val="24"/>
          <w:highlight w:val="none"/>
        </w:rPr>
        <w:t>，如有变动另行通知。</w:t>
      </w:r>
    </w:p>
    <w:p>
      <w:pPr>
        <w:spacing w:line="420" w:lineRule="exact"/>
        <w:ind w:firstLine="482" w:firstLineChars="200"/>
        <w:outlineLvl w:val="1"/>
        <w:rPr>
          <w:rFonts w:ascii="宋体" w:hAnsi="宋体" w:eastAsia="宋体"/>
          <w:color w:val="auto"/>
          <w:sz w:val="24"/>
          <w:szCs w:val="24"/>
          <w:highlight w:val="none"/>
        </w:rPr>
      </w:pPr>
      <w:r>
        <w:rPr>
          <w:rFonts w:hint="eastAsia" w:ascii="宋体" w:hAnsi="宋体" w:eastAsia="宋体" w:cs="宋体"/>
          <w:b/>
          <w:bCs/>
          <w:color w:val="auto"/>
          <w:sz w:val="24"/>
          <w:szCs w:val="24"/>
          <w:highlight w:val="none"/>
        </w:rPr>
        <w:t>八、评标办法：</w:t>
      </w:r>
      <w:r>
        <w:rPr>
          <w:rFonts w:hint="eastAsia" w:ascii="宋体" w:hAnsi="宋体" w:eastAsia="宋体" w:cs="宋体"/>
          <w:color w:val="auto"/>
          <w:sz w:val="24"/>
          <w:szCs w:val="24"/>
          <w:highlight w:val="none"/>
        </w:rPr>
        <w:t>综合评分法，详见磋商文件第四章。</w:t>
      </w:r>
    </w:p>
    <w:p>
      <w:pPr>
        <w:spacing w:line="420" w:lineRule="exact"/>
        <w:ind w:firstLine="482" w:firstLineChars="200"/>
        <w:outlineLvl w:val="1"/>
        <w:rPr>
          <w:rFonts w:ascii="宋体" w:hAnsi="宋体" w:eastAsia="宋体"/>
          <w:color w:val="auto"/>
          <w:sz w:val="24"/>
          <w:szCs w:val="24"/>
          <w:highlight w:val="none"/>
        </w:rPr>
      </w:pPr>
      <w:r>
        <w:rPr>
          <w:rFonts w:hint="eastAsia" w:ascii="宋体" w:hAnsi="宋体" w:eastAsia="宋体" w:cs="宋体"/>
          <w:b/>
          <w:bCs/>
          <w:color w:val="auto"/>
          <w:sz w:val="24"/>
          <w:szCs w:val="24"/>
          <w:highlight w:val="none"/>
        </w:rPr>
        <w:t>九、履约保证金</w:t>
      </w:r>
      <w:r>
        <w:rPr>
          <w:rFonts w:hint="eastAsia" w:ascii="宋体" w:hAnsi="宋体" w:eastAsia="宋体" w:cs="宋体"/>
          <w:color w:val="auto"/>
          <w:sz w:val="24"/>
          <w:szCs w:val="24"/>
          <w:highlight w:val="none"/>
        </w:rPr>
        <w:t>：本项目成交后的履约保证金为</w:t>
      </w:r>
      <w:r>
        <w:rPr>
          <w:rFonts w:hint="eastAsia" w:ascii="宋体" w:hAnsi="宋体" w:eastAsia="宋体" w:cs="宋体"/>
          <w:color w:val="auto"/>
          <w:sz w:val="24"/>
          <w:szCs w:val="24"/>
          <w:highlight w:val="none"/>
          <w:lang w:val="zh-CN"/>
        </w:rPr>
        <w:t>项目合同总价款的</w:t>
      </w: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rPr>
        <w:t>。</w:t>
      </w:r>
    </w:p>
    <w:p>
      <w:pPr>
        <w:spacing w:line="420" w:lineRule="exact"/>
        <w:ind w:firstLine="482" w:firstLineChars="200"/>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十、磋商响应联系方式</w:t>
      </w:r>
      <w:bookmarkStart w:id="4" w:name="_Toc363573854"/>
    </w:p>
    <w:p>
      <w:pPr>
        <w:spacing w:line="420" w:lineRule="exact"/>
        <w:ind w:firstLine="480" w:firstLineChars="200"/>
        <w:outlineLvl w:val="1"/>
        <w:rPr>
          <w:rFonts w:ascii="宋体" w:hAnsi="宋体" w:eastAsia="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采购人</w:t>
      </w:r>
    </w:p>
    <w:p>
      <w:pPr>
        <w:spacing w:line="420" w:lineRule="exact"/>
        <w:ind w:firstLine="480" w:firstLineChars="200"/>
        <w:outlineLvl w:val="1"/>
        <w:rPr>
          <w:rFonts w:ascii="宋体" w:hAnsi="宋体" w:eastAsia="宋体"/>
          <w:color w:val="auto"/>
          <w:sz w:val="24"/>
          <w:szCs w:val="24"/>
          <w:highlight w:val="none"/>
        </w:rPr>
      </w:pPr>
      <w:r>
        <w:rPr>
          <w:rFonts w:hint="eastAsia" w:ascii="宋体" w:hAnsi="宋体" w:eastAsia="宋体" w:cs="宋体"/>
          <w:color w:val="auto"/>
          <w:sz w:val="24"/>
          <w:szCs w:val="24"/>
          <w:highlight w:val="none"/>
        </w:rPr>
        <w:t>单位：南通</w:t>
      </w:r>
      <w:r>
        <w:rPr>
          <w:rFonts w:hint="eastAsia" w:ascii="宋体" w:hAnsi="宋体" w:eastAsia="宋体" w:cs="宋体"/>
          <w:color w:val="auto"/>
          <w:sz w:val="24"/>
          <w:szCs w:val="24"/>
          <w:highlight w:val="none"/>
          <w:lang w:val="en-US" w:eastAsia="zh-CN"/>
        </w:rPr>
        <w:t>市委老干部局</w:t>
      </w:r>
      <w:r>
        <w:rPr>
          <w:rFonts w:hint="eastAsia" w:ascii="宋体" w:hAnsi="宋体" w:eastAsia="宋体" w:cs="宋体"/>
          <w:color w:val="auto"/>
          <w:sz w:val="24"/>
          <w:szCs w:val="24"/>
          <w:highlight w:val="none"/>
        </w:rPr>
        <w:t>；</w:t>
      </w:r>
    </w:p>
    <w:p>
      <w:pPr>
        <w:spacing w:line="420" w:lineRule="exact"/>
        <w:ind w:firstLine="480" w:firstLineChars="200"/>
        <w:outlineLvl w:val="1"/>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联系人：万云</w:t>
      </w:r>
    </w:p>
    <w:p>
      <w:pPr>
        <w:spacing w:line="420" w:lineRule="exact"/>
        <w:ind w:firstLine="480" w:firstLineChars="200"/>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联系电话：0513-85099523 </w:t>
      </w:r>
    </w:p>
    <w:p>
      <w:pPr>
        <w:spacing w:line="420" w:lineRule="exact"/>
        <w:ind w:firstLine="480" w:firstLineChars="200"/>
        <w:outlineLvl w:val="1"/>
        <w:rPr>
          <w:rFonts w:ascii="宋体" w:hAnsi="宋体" w:eastAsia="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采购代理机构</w:t>
      </w:r>
    </w:p>
    <w:p>
      <w:pPr>
        <w:spacing w:line="420" w:lineRule="exact"/>
        <w:ind w:firstLine="480" w:firstLineChars="200"/>
        <w:outlineLvl w:val="1"/>
        <w:rPr>
          <w:rFonts w:ascii="宋体" w:hAnsi="宋体" w:eastAsia="宋体"/>
          <w:color w:val="auto"/>
          <w:sz w:val="24"/>
          <w:szCs w:val="24"/>
          <w:highlight w:val="none"/>
        </w:rPr>
      </w:pP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lang w:eastAsia="zh-CN"/>
        </w:rPr>
        <w:t>东方华星建设管理（江苏）有限公司</w:t>
      </w:r>
      <w:r>
        <w:rPr>
          <w:rFonts w:hint="eastAsia" w:ascii="宋体" w:hAnsi="宋体" w:eastAsia="宋体" w:cs="宋体"/>
          <w:color w:val="auto"/>
          <w:sz w:val="24"/>
          <w:szCs w:val="24"/>
          <w:highlight w:val="none"/>
        </w:rPr>
        <w:t>；</w:t>
      </w:r>
    </w:p>
    <w:p>
      <w:pPr>
        <w:spacing w:line="420" w:lineRule="exact"/>
        <w:ind w:firstLine="480" w:firstLineChars="200"/>
        <w:outlineLvl w:val="1"/>
        <w:rPr>
          <w:rFonts w:ascii="宋体" w:hAnsi="宋体" w:eastAsia="宋体"/>
          <w:color w:val="auto"/>
          <w:sz w:val="24"/>
          <w:szCs w:val="24"/>
          <w:highlight w:val="none"/>
        </w:rPr>
      </w:pPr>
      <w:r>
        <w:rPr>
          <w:rFonts w:hint="eastAsia" w:ascii="宋体" w:hAnsi="宋体" w:eastAsia="宋体" w:cs="宋体"/>
          <w:color w:val="auto"/>
          <w:sz w:val="24"/>
          <w:szCs w:val="24"/>
          <w:highlight w:val="none"/>
        </w:rPr>
        <w:t>地址：南通市万科壹中心190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室；</w:t>
      </w:r>
      <w:bookmarkEnd w:id="1"/>
      <w:bookmarkEnd w:id="2"/>
    </w:p>
    <w:p>
      <w:pPr>
        <w:spacing w:line="420" w:lineRule="exact"/>
        <w:ind w:firstLine="480" w:firstLineChars="200"/>
        <w:outlineLvl w:val="1"/>
        <w:rPr>
          <w:rFonts w:ascii="宋体" w:hAnsi="宋体" w:eastAsia="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卫工</w:t>
      </w:r>
      <w:r>
        <w:rPr>
          <w:rFonts w:hint="eastAsia" w:ascii="宋体" w:hAnsi="宋体" w:eastAsia="宋体" w:cs="宋体"/>
          <w:color w:val="auto"/>
          <w:sz w:val="24"/>
          <w:szCs w:val="24"/>
          <w:highlight w:val="none"/>
        </w:rPr>
        <w:t>；</w:t>
      </w:r>
    </w:p>
    <w:p>
      <w:pPr>
        <w:spacing w:line="420" w:lineRule="exact"/>
        <w:ind w:firstLine="480" w:firstLineChars="200"/>
        <w:outlineLvl w:val="1"/>
        <w:rPr>
          <w:rFonts w:ascii="宋体" w:hAnsi="宋体" w:eastAsia="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cs="宋体"/>
          <w:sz w:val="24"/>
          <w:szCs w:val="24"/>
          <w:highlight w:val="none"/>
        </w:rPr>
        <w:t>18106295192</w:t>
      </w:r>
      <w:r>
        <w:rPr>
          <w:rFonts w:hint="eastAsia" w:ascii="宋体" w:hAnsi="宋体" w:eastAsia="宋体" w:cs="宋体"/>
          <w:color w:val="auto"/>
          <w:sz w:val="24"/>
          <w:szCs w:val="24"/>
          <w:highlight w:val="none"/>
        </w:rPr>
        <w:t>；</w:t>
      </w:r>
    </w:p>
    <w:p>
      <w:pPr>
        <w:spacing w:line="420" w:lineRule="exact"/>
        <w:ind w:firstLine="480" w:firstLineChars="200"/>
        <w:outlineLvl w:val="1"/>
        <w:rPr>
          <w:rFonts w:eastAsia="仿宋_GB2312"/>
          <w:color w:val="auto"/>
          <w:sz w:val="24"/>
          <w:szCs w:val="24"/>
          <w:highlight w:val="none"/>
        </w:rPr>
      </w:pPr>
      <w:r>
        <w:rPr>
          <w:rFonts w:hint="eastAsia" w:ascii="宋体" w:hAnsi="宋体" w:eastAsia="宋体" w:cs="宋体"/>
          <w:color w:val="auto"/>
          <w:sz w:val="24"/>
          <w:szCs w:val="24"/>
          <w:highlight w:val="none"/>
        </w:rPr>
        <w:t>邮箱：</w:t>
      </w:r>
      <w:r>
        <w:rPr>
          <w:rFonts w:hint="eastAsia" w:ascii="宋体" w:hAnsi="宋体" w:cs="宋体"/>
          <w:sz w:val="24"/>
          <w:szCs w:val="24"/>
          <w:highlight w:val="none"/>
          <w:lang w:val="en-US" w:eastAsia="zh-CN"/>
        </w:rPr>
        <w:t>dfhxnt@126.com</w:t>
      </w:r>
    </w:p>
    <w:bookmarkEnd w:id="3"/>
    <w:p>
      <w:pPr>
        <w:rPr>
          <w:color w:val="auto"/>
          <w:highlight w:val="none"/>
        </w:rPr>
      </w:pPr>
    </w:p>
    <w:p>
      <w:pPr>
        <w:spacing w:line="420" w:lineRule="exact"/>
        <w:ind w:firstLine="480" w:firstLineChars="200"/>
        <w:jc w:val="center"/>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w:t>
      </w:r>
    </w:p>
    <w:p>
      <w:pPr>
        <w:spacing w:line="420" w:lineRule="exact"/>
        <w:ind w:firstLine="480" w:firstLineChars="200"/>
        <w:jc w:val="center"/>
        <w:outlineLvl w:val="1"/>
        <w:rPr>
          <w:rFonts w:hint="eastAsia" w:ascii="宋体" w:hAnsi="宋体" w:eastAsia="宋体" w:cs="宋体"/>
          <w:color w:val="auto"/>
          <w:kern w:val="2"/>
          <w:sz w:val="24"/>
          <w:szCs w:val="24"/>
          <w:highlight w:val="none"/>
          <w:lang w:val="en-US" w:eastAsia="zh-CN" w:bidi="ar-SA"/>
        </w:rPr>
      </w:pPr>
    </w:p>
    <w:p>
      <w:pPr>
        <w:spacing w:line="420" w:lineRule="exact"/>
        <w:ind w:firstLine="480" w:firstLineChars="200"/>
        <w:jc w:val="center"/>
        <w:outlineLvl w:val="1"/>
        <w:rPr>
          <w:rFonts w:hint="eastAsia" w:ascii="宋体" w:hAnsi="宋体" w:eastAsia="宋体" w:cs="宋体"/>
          <w:color w:val="auto"/>
          <w:kern w:val="2"/>
          <w:sz w:val="24"/>
          <w:szCs w:val="24"/>
          <w:highlight w:val="none"/>
          <w:lang w:val="en-US" w:eastAsia="zh-CN" w:bidi="ar-SA"/>
        </w:rPr>
      </w:pPr>
    </w:p>
    <w:p>
      <w:pPr>
        <w:spacing w:line="420" w:lineRule="exact"/>
        <w:ind w:firstLine="480" w:firstLineChars="200"/>
        <w:jc w:val="center"/>
        <w:outlineLvl w:val="1"/>
        <w:rPr>
          <w:rFonts w:hint="eastAsia" w:ascii="宋体" w:hAnsi="宋体" w:eastAsia="宋体" w:cs="宋体"/>
          <w:color w:val="auto"/>
          <w:kern w:val="2"/>
          <w:sz w:val="24"/>
          <w:szCs w:val="24"/>
          <w:highlight w:val="none"/>
          <w:lang w:val="en-US" w:eastAsia="zh-CN" w:bidi="ar-SA"/>
        </w:rPr>
      </w:pPr>
    </w:p>
    <w:p>
      <w:pPr>
        <w:spacing w:line="420" w:lineRule="exact"/>
        <w:ind w:firstLine="480" w:firstLineChars="200"/>
        <w:jc w:val="center"/>
        <w:outlineLvl w:val="1"/>
        <w:rPr>
          <w:rFonts w:hint="eastAsia" w:ascii="宋体" w:hAnsi="宋体" w:eastAsia="宋体" w:cs="宋体"/>
          <w:color w:val="auto"/>
          <w:kern w:val="2"/>
          <w:sz w:val="24"/>
          <w:szCs w:val="24"/>
          <w:highlight w:val="none"/>
          <w:lang w:val="en-US" w:eastAsia="zh-CN" w:bidi="ar-SA"/>
        </w:rPr>
      </w:pPr>
    </w:p>
    <w:p>
      <w:pPr>
        <w:spacing w:line="420" w:lineRule="exact"/>
        <w:ind w:firstLine="480" w:firstLineChars="200"/>
        <w:jc w:val="center"/>
        <w:outlineLvl w:val="1"/>
        <w:rPr>
          <w:rFonts w:hint="eastAsia" w:ascii="宋体" w:hAnsi="宋体" w:eastAsia="宋体" w:cs="宋体"/>
          <w:color w:val="auto"/>
          <w:kern w:val="2"/>
          <w:sz w:val="24"/>
          <w:szCs w:val="24"/>
          <w:highlight w:val="none"/>
          <w:lang w:val="en-US" w:eastAsia="zh-CN" w:bidi="ar-SA"/>
        </w:rPr>
      </w:pPr>
    </w:p>
    <w:p>
      <w:pPr>
        <w:spacing w:line="420" w:lineRule="exact"/>
        <w:ind w:firstLine="480" w:firstLineChars="200"/>
        <w:jc w:val="center"/>
        <w:outlineLvl w:val="1"/>
        <w:rPr>
          <w:rFonts w:hint="eastAsia" w:ascii="宋体" w:hAnsi="宋体" w:eastAsia="宋体" w:cs="宋体"/>
          <w:color w:val="auto"/>
          <w:kern w:val="2"/>
          <w:sz w:val="24"/>
          <w:szCs w:val="24"/>
          <w:highlight w:val="none"/>
          <w:lang w:val="en-US" w:eastAsia="zh-CN" w:bidi="ar-SA"/>
        </w:rPr>
      </w:pPr>
    </w:p>
    <w:p>
      <w:pPr>
        <w:spacing w:line="420" w:lineRule="exact"/>
        <w:ind w:firstLine="480" w:firstLineChars="200"/>
        <w:jc w:val="center"/>
        <w:outlineLvl w:val="1"/>
        <w:rPr>
          <w:rFonts w:hint="eastAsia" w:ascii="宋体" w:hAnsi="宋体" w:eastAsia="宋体" w:cs="宋体"/>
          <w:color w:val="auto"/>
          <w:kern w:val="2"/>
          <w:sz w:val="24"/>
          <w:szCs w:val="24"/>
          <w:highlight w:val="none"/>
          <w:lang w:val="en-US" w:eastAsia="zh-CN" w:bidi="ar-SA"/>
        </w:rPr>
      </w:pPr>
    </w:p>
    <w:p>
      <w:pPr>
        <w:spacing w:line="420" w:lineRule="exact"/>
        <w:ind w:firstLine="480" w:firstLineChars="200"/>
        <w:jc w:val="center"/>
        <w:outlineLvl w:val="1"/>
        <w:rPr>
          <w:rFonts w:hint="eastAsia" w:ascii="宋体" w:hAnsi="宋体" w:eastAsia="宋体" w:cs="宋体"/>
          <w:color w:val="auto"/>
          <w:kern w:val="2"/>
          <w:sz w:val="24"/>
          <w:szCs w:val="24"/>
          <w:highlight w:val="none"/>
          <w:lang w:val="en-US" w:eastAsia="zh-CN" w:bidi="ar-SA"/>
        </w:rPr>
      </w:pPr>
    </w:p>
    <w:p>
      <w:pPr>
        <w:spacing w:line="420" w:lineRule="exact"/>
        <w:ind w:firstLine="480" w:firstLineChars="200"/>
        <w:jc w:val="center"/>
        <w:outlineLvl w:val="1"/>
        <w:rPr>
          <w:rFonts w:hint="eastAsia" w:ascii="宋体" w:hAnsi="宋体" w:eastAsia="宋体" w:cs="宋体"/>
          <w:color w:val="auto"/>
          <w:kern w:val="2"/>
          <w:sz w:val="24"/>
          <w:szCs w:val="24"/>
          <w:highlight w:val="none"/>
          <w:lang w:val="en-US" w:eastAsia="zh-CN" w:bidi="ar-SA"/>
        </w:rPr>
      </w:pPr>
    </w:p>
    <w:p>
      <w:pPr>
        <w:spacing w:line="420" w:lineRule="exact"/>
        <w:ind w:firstLine="480" w:firstLineChars="200"/>
        <w:jc w:val="center"/>
        <w:outlineLvl w:val="1"/>
        <w:rPr>
          <w:rFonts w:hint="eastAsia" w:ascii="宋体" w:hAnsi="宋体" w:eastAsia="宋体" w:cs="宋体"/>
          <w:color w:val="auto"/>
          <w:kern w:val="2"/>
          <w:sz w:val="24"/>
          <w:szCs w:val="24"/>
          <w:highlight w:val="none"/>
          <w:lang w:val="en-US" w:eastAsia="zh-CN" w:bidi="ar-SA"/>
        </w:rPr>
      </w:pPr>
    </w:p>
    <w:p>
      <w:pPr>
        <w:spacing w:line="420" w:lineRule="exact"/>
        <w:ind w:firstLine="480" w:firstLineChars="200"/>
        <w:jc w:val="center"/>
        <w:outlineLvl w:val="1"/>
        <w:rPr>
          <w:rFonts w:hint="eastAsia" w:ascii="宋体" w:hAnsi="宋体" w:eastAsia="宋体" w:cs="宋体"/>
          <w:color w:val="auto"/>
          <w:kern w:val="2"/>
          <w:sz w:val="24"/>
          <w:szCs w:val="24"/>
          <w:highlight w:val="none"/>
          <w:lang w:val="en-US" w:eastAsia="zh-CN" w:bidi="ar-SA"/>
        </w:rPr>
      </w:pPr>
    </w:p>
    <w:p>
      <w:pPr>
        <w:spacing w:line="420" w:lineRule="exact"/>
        <w:ind w:firstLine="480" w:firstLineChars="200"/>
        <w:jc w:val="center"/>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w:t>
      </w:r>
    </w:p>
    <w:p>
      <w:pPr>
        <w:spacing w:line="420" w:lineRule="exact"/>
        <w:ind w:firstLine="480" w:firstLineChars="200"/>
        <w:jc w:val="center"/>
        <w:outlineLvl w:val="1"/>
        <w:rPr>
          <w:rFonts w:hint="eastAsia" w:ascii="宋体" w:hAnsi="宋体" w:eastAsia="宋体" w:cs="宋体"/>
          <w:color w:val="auto"/>
          <w:kern w:val="2"/>
          <w:sz w:val="24"/>
          <w:szCs w:val="24"/>
          <w:highlight w:val="none"/>
          <w:lang w:val="en-US" w:eastAsia="zh-CN" w:bidi="ar-SA"/>
        </w:rPr>
      </w:pPr>
    </w:p>
    <w:p>
      <w:pPr>
        <w:spacing w:line="420" w:lineRule="exact"/>
        <w:ind w:firstLine="480" w:firstLineChars="200"/>
        <w:jc w:val="center"/>
        <w:outlineLvl w:val="1"/>
        <w:rPr>
          <w:rFonts w:hint="eastAsia" w:ascii="宋体" w:hAnsi="宋体" w:eastAsia="宋体" w:cs="宋体"/>
          <w:color w:val="auto"/>
          <w:kern w:val="2"/>
          <w:sz w:val="24"/>
          <w:szCs w:val="24"/>
          <w:highlight w:val="none"/>
          <w:lang w:val="en-US" w:eastAsia="zh-CN" w:bidi="ar-SA"/>
        </w:rPr>
      </w:pPr>
    </w:p>
    <w:p>
      <w:pPr>
        <w:spacing w:line="420" w:lineRule="exact"/>
        <w:ind w:firstLine="480" w:firstLineChars="200"/>
        <w:jc w:val="center"/>
        <w:outlineLvl w:val="1"/>
        <w:rPr>
          <w:rFonts w:hint="eastAsia" w:ascii="宋体" w:hAnsi="宋体" w:eastAsia="宋体" w:cs="宋体"/>
          <w:color w:val="auto"/>
          <w:kern w:val="2"/>
          <w:sz w:val="24"/>
          <w:szCs w:val="24"/>
          <w:highlight w:val="none"/>
          <w:lang w:val="en-US" w:eastAsia="zh-CN" w:bidi="ar-SA"/>
        </w:rPr>
      </w:pPr>
    </w:p>
    <w:p>
      <w:pPr>
        <w:pStyle w:val="48"/>
        <w:spacing w:before="120"/>
        <w:ind w:firstLine="6360" w:firstLineChars="2650"/>
        <w:jc w:val="both"/>
        <w:rPr>
          <w:rFonts w:cs="Times New Roman"/>
          <w:color w:val="auto"/>
          <w:highlight w:val="none"/>
        </w:rPr>
      </w:pPr>
      <w:r>
        <w:rPr>
          <w:rFonts w:hint="eastAsia" w:ascii="宋体" w:hAnsi="宋体" w:eastAsia="宋体" w:cs="宋体"/>
          <w:color w:val="auto"/>
          <w:kern w:val="2"/>
          <w:sz w:val="24"/>
          <w:szCs w:val="24"/>
          <w:highlight w:val="none"/>
          <w:lang w:val="en-US" w:eastAsia="zh-CN" w:bidi="ar-SA"/>
        </w:rPr>
        <w:t xml:space="preserve">                         </w:t>
      </w:r>
    </w:p>
    <w:p>
      <w:pPr>
        <w:pStyle w:val="48"/>
        <w:spacing w:before="120"/>
        <w:ind w:firstLine="600"/>
        <w:rPr>
          <w:rFonts w:cs="Times New Roman"/>
          <w:color w:val="auto"/>
          <w:highlight w:val="none"/>
        </w:rPr>
      </w:pPr>
    </w:p>
    <w:p>
      <w:pPr>
        <w:pStyle w:val="48"/>
        <w:spacing w:before="120"/>
        <w:ind w:firstLine="600"/>
        <w:rPr>
          <w:rFonts w:cs="Times New Roman"/>
          <w:color w:val="auto"/>
          <w:highlight w:val="none"/>
        </w:rPr>
      </w:pPr>
    </w:p>
    <w:p>
      <w:pPr>
        <w:pStyle w:val="48"/>
        <w:spacing w:before="120"/>
        <w:ind w:firstLine="600"/>
        <w:rPr>
          <w:rFonts w:cs="Times New Roman"/>
          <w:color w:val="auto"/>
          <w:highlight w:val="none"/>
        </w:rPr>
      </w:pPr>
    </w:p>
    <w:p>
      <w:pPr>
        <w:rPr>
          <w:color w:val="auto"/>
          <w:highlight w:val="none"/>
        </w:rPr>
        <w:sectPr>
          <w:footerReference r:id="rId4" w:type="default"/>
          <w:pgSz w:w="11906" w:h="16838"/>
          <w:pgMar w:top="1276" w:right="851" w:bottom="709" w:left="1418" w:header="851" w:footer="448" w:gutter="0"/>
          <w:pgNumType w:fmt="decimal" w:start="1"/>
          <w:cols w:space="720" w:num="1"/>
          <w:docGrid w:linePitch="380" w:charSpace="-5735"/>
        </w:sectPr>
      </w:pPr>
    </w:p>
    <w:p>
      <w:pPr>
        <w:tabs>
          <w:tab w:val="left" w:pos="1050"/>
          <w:tab w:val="right" w:leader="dot" w:pos="9402"/>
        </w:tabs>
        <w:spacing w:beforeLines="100" w:line="600" w:lineRule="exact"/>
        <w:jc w:val="center"/>
        <w:outlineLvl w:val="0"/>
        <w:rPr>
          <w:rFonts w:ascii="宋体" w:hAnsi="宋体" w:eastAsia="宋体"/>
          <w:b/>
          <w:bCs/>
          <w:color w:val="auto"/>
          <w:w w:val="80"/>
          <w:sz w:val="36"/>
          <w:szCs w:val="36"/>
          <w:highlight w:val="none"/>
        </w:rPr>
      </w:pPr>
      <w:r>
        <w:rPr>
          <w:rFonts w:hint="eastAsia" w:ascii="宋体" w:hAnsi="宋体" w:eastAsia="宋体" w:cs="宋体"/>
          <w:b/>
          <w:bCs/>
          <w:color w:val="auto"/>
          <w:w w:val="80"/>
          <w:sz w:val="36"/>
          <w:szCs w:val="36"/>
          <w:highlight w:val="none"/>
        </w:rPr>
        <w:t>第二章</w:t>
      </w:r>
      <w:r>
        <w:rPr>
          <w:rFonts w:ascii="宋体" w:hAnsi="宋体" w:eastAsia="宋体" w:cs="宋体"/>
          <w:b/>
          <w:bCs/>
          <w:color w:val="auto"/>
          <w:w w:val="80"/>
          <w:sz w:val="36"/>
          <w:szCs w:val="36"/>
          <w:highlight w:val="none"/>
        </w:rPr>
        <w:t xml:space="preserve">  </w:t>
      </w:r>
      <w:r>
        <w:rPr>
          <w:rFonts w:hint="eastAsia" w:ascii="宋体" w:hAnsi="宋体" w:eastAsia="宋体" w:cs="宋体"/>
          <w:b/>
          <w:bCs/>
          <w:color w:val="auto"/>
          <w:w w:val="80"/>
          <w:sz w:val="36"/>
          <w:szCs w:val="36"/>
          <w:highlight w:val="none"/>
        </w:rPr>
        <w:t>供应商须知</w:t>
      </w:r>
      <w:bookmarkEnd w:id="4"/>
    </w:p>
    <w:p>
      <w:pPr>
        <w:snapToGrid w:val="0"/>
        <w:spacing w:line="420" w:lineRule="exact"/>
        <w:ind w:firstLine="482" w:firstLineChars="200"/>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一、说明</w:t>
      </w:r>
    </w:p>
    <w:p>
      <w:pPr>
        <w:snapToGrid w:val="0"/>
        <w:spacing w:line="420" w:lineRule="exact"/>
        <w:ind w:firstLine="480" w:firstLineChars="200"/>
        <w:rPr>
          <w:rFonts w:ascii="宋体" w:hAnsi="宋体" w:eastAsia="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本磋商文件仅适用于本代理机构组织的招标采购活动。</w:t>
      </w:r>
    </w:p>
    <w:p>
      <w:pPr>
        <w:snapToGrid w:val="0"/>
        <w:spacing w:line="420" w:lineRule="exact"/>
        <w:ind w:firstLine="480" w:firstLineChars="200"/>
        <w:rPr>
          <w:rFonts w:ascii="宋体" w:hAnsi="宋体" w:eastAsia="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招标采购活动及因本次招标产生的合同受中国法律制约和保护。</w:t>
      </w:r>
    </w:p>
    <w:p>
      <w:pPr>
        <w:snapToGrid w:val="0"/>
        <w:spacing w:line="420" w:lineRule="exact"/>
        <w:ind w:firstLine="480" w:firstLineChars="200"/>
        <w:rPr>
          <w:rFonts w:ascii="宋体" w:hAnsi="宋体" w:eastAsia="宋体"/>
          <w:color w:val="auto"/>
          <w:sz w:val="24"/>
          <w:szCs w:val="24"/>
          <w:highlight w:val="none"/>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磋商文件的解释权属于代理机构。</w:t>
      </w:r>
    </w:p>
    <w:p>
      <w:pPr>
        <w:snapToGrid w:val="0"/>
        <w:spacing w:line="420" w:lineRule="exact"/>
        <w:ind w:firstLine="480" w:firstLineChars="200"/>
        <w:rPr>
          <w:rFonts w:ascii="宋体" w:hAnsi="宋体" w:eastAsia="宋体"/>
          <w:color w:val="auto"/>
          <w:sz w:val="24"/>
          <w:szCs w:val="24"/>
          <w:highlight w:val="none"/>
        </w:rPr>
      </w:pP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供应商在知道或应当知道本项目磋商公告及磋商文件中的所有内容：如内容或页码短缺、资格要求和技术参数出现倾向性或排他性等表述的，应在本项目磋商公告及磋商文件发布后提出询问或是在发布之日后的</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个工作日内以书面实名制形式提出质疑；未提出询问或是未在规定期间内提出的视作供应商接受本项目磋商公告及磋商文件中的全部内容；供应商不得在招标活动期间及招标结束后针对本项目磋商公告及磋商文件中的所有内容提出质疑事项。</w:t>
      </w:r>
    </w:p>
    <w:p>
      <w:pPr>
        <w:snapToGrid w:val="0"/>
        <w:spacing w:line="420" w:lineRule="exact"/>
        <w:ind w:firstLine="480" w:firstLineChars="200"/>
        <w:rPr>
          <w:rFonts w:ascii="宋体" w:hAnsi="宋体" w:eastAsia="宋体"/>
          <w:color w:val="auto"/>
          <w:sz w:val="24"/>
          <w:szCs w:val="24"/>
          <w:highlight w:val="none"/>
        </w:rPr>
      </w:pP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供应商应认真审阅本磋商文件中的所有事项、格式、条款和规范要求等，如果供应商没有按照磋商文件要求提交磋商响应文件，或者磋商响应文件没有对磋商文件做出实质性响应，有可能被拒绝参与磋商。</w:t>
      </w:r>
    </w:p>
    <w:p>
      <w:pPr>
        <w:snapToGrid w:val="0"/>
        <w:spacing w:line="420" w:lineRule="exact"/>
        <w:ind w:firstLine="480" w:firstLineChars="200"/>
        <w:rPr>
          <w:rFonts w:ascii="宋体" w:hAnsi="宋体" w:eastAsia="宋体"/>
          <w:color w:val="auto"/>
          <w:sz w:val="24"/>
          <w:szCs w:val="24"/>
          <w:highlight w:val="none"/>
        </w:rPr>
      </w:pPr>
      <w:r>
        <w:rPr>
          <w:rFonts w:ascii="宋体" w:hAnsi="宋体" w:eastAsia="宋体" w:cs="宋体"/>
          <w:color w:val="auto"/>
          <w:sz w:val="24"/>
          <w:szCs w:val="24"/>
          <w:highlight w:val="none"/>
        </w:rPr>
        <w:t>6.</w:t>
      </w:r>
      <w:r>
        <w:rPr>
          <w:rFonts w:hint="eastAsia" w:ascii="宋体" w:hAnsi="宋体" w:eastAsia="宋体" w:cs="宋体"/>
          <w:color w:val="auto"/>
          <w:sz w:val="24"/>
          <w:szCs w:val="24"/>
          <w:highlight w:val="none"/>
        </w:rPr>
        <w:t>磋商文件项目需求提供的可能涉及到的工艺、材料、设备、商标、样本、技术规范、参数规格、品牌等，仅作为说明并没有限制性，供应商在磋商响应中可以选用替代标准，但这些替代标准要优于项目需求技术规格中要求的标准，以满足采购人的需要。</w:t>
      </w:r>
    </w:p>
    <w:p>
      <w:pPr>
        <w:snapToGrid w:val="0"/>
        <w:spacing w:line="420" w:lineRule="exact"/>
        <w:ind w:firstLine="482" w:firstLineChars="200"/>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二、磋商文件的补充说明、澄清、修改、答疑</w:t>
      </w:r>
    </w:p>
    <w:p>
      <w:pPr>
        <w:snapToGrid w:val="0"/>
        <w:spacing w:line="420" w:lineRule="exact"/>
        <w:ind w:firstLine="480" w:firstLineChars="200"/>
        <w:rPr>
          <w:rFonts w:ascii="宋体" w:hAnsi="宋体" w:eastAsia="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采购代理机构有权对发出的磋商文件进行必要的补充说明、澄清或修改。</w:t>
      </w:r>
    </w:p>
    <w:p>
      <w:pPr>
        <w:snapToGrid w:val="0"/>
        <w:spacing w:line="420" w:lineRule="exact"/>
        <w:ind w:firstLine="480" w:firstLineChars="200"/>
        <w:rPr>
          <w:rFonts w:ascii="宋体" w:hAnsi="宋体" w:eastAsia="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凡涉及磋商文件的补充说明、澄清或修改，均以采购代理机构在</w:t>
      </w:r>
      <w:r>
        <w:rPr>
          <w:rFonts w:hint="eastAsia" w:ascii="宋体" w:hAnsi="宋体" w:eastAsia="宋体" w:cs="宋体"/>
          <w:b/>
          <w:bCs/>
          <w:color w:val="auto"/>
          <w:sz w:val="24"/>
          <w:szCs w:val="24"/>
          <w:highlight w:val="none"/>
        </w:rPr>
        <w:t>“中共南通市委老干部局</w:t>
      </w:r>
      <w:r>
        <w:rPr>
          <w:rFonts w:hint="eastAsia" w:ascii="宋体" w:hAnsi="宋体" w:eastAsia="宋体" w:cs="宋体"/>
          <w:b/>
          <w:bCs/>
          <w:color w:val="auto"/>
          <w:kern w:val="0"/>
          <w:sz w:val="24"/>
          <w:szCs w:val="24"/>
          <w:highlight w:val="none"/>
        </w:rPr>
        <w:t>”</w:t>
      </w:r>
      <w:r>
        <w:rPr>
          <w:rFonts w:hint="eastAsia" w:ascii="宋体" w:hAnsi="宋体" w:eastAsia="宋体" w:cs="宋体"/>
          <w:color w:val="auto"/>
          <w:sz w:val="24"/>
          <w:szCs w:val="24"/>
          <w:highlight w:val="none"/>
        </w:rPr>
        <w:t>发布的信息为准。</w:t>
      </w:r>
    </w:p>
    <w:p>
      <w:pPr>
        <w:snapToGrid w:val="0"/>
        <w:spacing w:line="420" w:lineRule="exact"/>
        <w:ind w:firstLine="480" w:firstLineChars="200"/>
        <w:rPr>
          <w:rFonts w:ascii="宋体" w:hAnsi="宋体" w:eastAsia="宋体"/>
          <w:color w:val="auto"/>
          <w:sz w:val="24"/>
          <w:szCs w:val="24"/>
          <w:highlight w:val="none"/>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采购代理机构对磋商文件的补充说明、澄清或修改，将构成本项目采购文件的一部分，对供应商具有约束力。</w:t>
      </w:r>
    </w:p>
    <w:p>
      <w:pPr>
        <w:snapToGrid w:val="0"/>
        <w:spacing w:line="420" w:lineRule="exact"/>
        <w:ind w:firstLine="480" w:firstLineChars="200"/>
        <w:rPr>
          <w:rFonts w:ascii="宋体" w:hAnsi="宋体" w:eastAsia="宋体"/>
          <w:color w:val="auto"/>
          <w:sz w:val="24"/>
          <w:szCs w:val="24"/>
          <w:highlight w:val="none"/>
        </w:rPr>
      </w:pP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补充说明、澄清或修改的内容可能影响到响应文件编制的，采购代理机构将在首次提交磋商响应文件截止日</w:t>
      </w: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日前，发布补充说明、澄清或修改公告。不足</w:t>
      </w: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日的，应当顺延首次提交磋商响应文件截止之日。</w:t>
      </w:r>
    </w:p>
    <w:p>
      <w:pPr>
        <w:snapToGrid w:val="0"/>
        <w:spacing w:line="420" w:lineRule="exact"/>
        <w:ind w:firstLine="480" w:firstLineChars="200"/>
        <w:rPr>
          <w:rFonts w:ascii="宋体" w:hAnsi="宋体" w:eastAsia="宋体"/>
          <w:color w:val="auto"/>
          <w:sz w:val="24"/>
          <w:szCs w:val="24"/>
          <w:highlight w:val="none"/>
        </w:rPr>
      </w:pP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除非采购代理机构以书面、公告的形式对磋商文件作出澄清、修改、补充并通知到供应商，供应商对涉及磋商文件的任何推论、理解及其结论所造成的结果，均由供应商自负。</w:t>
      </w:r>
    </w:p>
    <w:p>
      <w:pPr>
        <w:snapToGrid w:val="0"/>
        <w:spacing w:line="420" w:lineRule="exact"/>
        <w:ind w:firstLine="480" w:firstLineChars="200"/>
        <w:rPr>
          <w:rFonts w:ascii="宋体" w:hAnsi="宋体" w:eastAsia="宋体"/>
          <w:color w:val="auto"/>
          <w:sz w:val="24"/>
          <w:szCs w:val="24"/>
          <w:highlight w:val="none"/>
        </w:rPr>
      </w:pPr>
      <w:r>
        <w:rPr>
          <w:rFonts w:ascii="宋体" w:hAnsi="宋体" w:eastAsia="宋体" w:cs="宋体"/>
          <w:color w:val="auto"/>
          <w:sz w:val="24"/>
          <w:szCs w:val="24"/>
          <w:highlight w:val="none"/>
        </w:rPr>
        <w:t>6.</w:t>
      </w:r>
      <w:r>
        <w:rPr>
          <w:rFonts w:hint="eastAsia" w:ascii="宋体" w:hAnsi="宋体" w:eastAsia="宋体" w:cs="宋体"/>
          <w:color w:val="auto"/>
          <w:sz w:val="24"/>
          <w:szCs w:val="24"/>
          <w:highlight w:val="none"/>
        </w:rPr>
        <w:t>招标采购单位视情组织答疑会。如有产生答疑且对磋商文件内容有修改，采购代理机构将按照本须知有关规定，以补充通知（公告）的方式发出并通知到供应商。</w:t>
      </w:r>
    </w:p>
    <w:p>
      <w:pPr>
        <w:snapToGrid w:val="0"/>
        <w:spacing w:line="420" w:lineRule="exact"/>
        <w:ind w:firstLine="482" w:firstLineChars="200"/>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三、磋商响应文件的组成及装订</w:t>
      </w:r>
    </w:p>
    <w:p>
      <w:pPr>
        <w:snapToGrid w:val="0"/>
        <w:spacing w:line="420" w:lineRule="exact"/>
        <w:ind w:firstLine="480" w:firstLineChars="200"/>
        <w:rPr>
          <w:rFonts w:ascii="宋体" w:hAnsi="宋体" w:eastAsia="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磋商响应文件由：</w:t>
      </w:r>
      <w:r>
        <w:rPr>
          <w:rFonts w:ascii="宋体" w:hAnsi="宋体" w:eastAsia="宋体" w:cs="宋体"/>
          <w:color w:val="auto"/>
          <w:sz w:val="24"/>
          <w:szCs w:val="24"/>
          <w:highlight w:val="none"/>
        </w:rPr>
        <w:t>A</w:t>
      </w:r>
      <w:r>
        <w:rPr>
          <w:rFonts w:hint="eastAsia" w:ascii="宋体" w:hAnsi="宋体" w:eastAsia="宋体" w:cs="宋体"/>
          <w:color w:val="auto"/>
          <w:sz w:val="24"/>
          <w:szCs w:val="24"/>
          <w:highlight w:val="none"/>
        </w:rPr>
        <w:t>资格后审材料文件、</w:t>
      </w:r>
      <w:r>
        <w:rPr>
          <w:rFonts w:ascii="宋体" w:hAnsi="宋体" w:eastAsia="宋体" w:cs="宋体"/>
          <w:color w:val="auto"/>
          <w:sz w:val="24"/>
          <w:szCs w:val="24"/>
          <w:highlight w:val="none"/>
        </w:rPr>
        <w:t>B</w:t>
      </w:r>
      <w:r>
        <w:rPr>
          <w:rFonts w:hint="eastAsia" w:ascii="宋体" w:hAnsi="宋体" w:eastAsia="宋体" w:cs="宋体"/>
          <w:color w:val="auto"/>
          <w:sz w:val="24"/>
          <w:szCs w:val="24"/>
          <w:highlight w:val="none"/>
        </w:rPr>
        <w:t>技术标文件、</w:t>
      </w:r>
      <w:r>
        <w:rPr>
          <w:rFonts w:ascii="宋体" w:hAnsi="宋体" w:eastAsia="宋体" w:cs="宋体"/>
          <w:color w:val="auto"/>
          <w:sz w:val="24"/>
          <w:szCs w:val="24"/>
          <w:highlight w:val="none"/>
        </w:rPr>
        <w:t>C</w:t>
      </w:r>
      <w:r>
        <w:rPr>
          <w:rFonts w:hint="eastAsia" w:ascii="宋体" w:hAnsi="宋体" w:eastAsia="宋体" w:cs="宋体"/>
          <w:color w:val="auto"/>
          <w:sz w:val="24"/>
          <w:szCs w:val="24"/>
          <w:highlight w:val="none"/>
        </w:rPr>
        <w:t>价格标文件，共</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部分组成（以下由文件前缀号代称）。</w:t>
      </w:r>
    </w:p>
    <w:p>
      <w:pPr>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供应商按磋商响应文件组成顺序编写响应文件，并装订成册。磋商响应文件均需采用</w:t>
      </w:r>
      <w:r>
        <w:rPr>
          <w:rFonts w:ascii="宋体" w:hAnsi="宋体" w:eastAsia="宋体" w:cs="宋体"/>
          <w:color w:val="auto"/>
          <w:sz w:val="24"/>
          <w:szCs w:val="24"/>
          <w:highlight w:val="none"/>
        </w:rPr>
        <w:t>A4</w:t>
      </w:r>
      <w:r>
        <w:rPr>
          <w:rFonts w:hint="eastAsia" w:ascii="宋体" w:hAnsi="宋体" w:eastAsia="宋体" w:cs="宋体"/>
          <w:color w:val="auto"/>
          <w:sz w:val="24"/>
          <w:szCs w:val="24"/>
          <w:highlight w:val="none"/>
        </w:rPr>
        <w:t>纸（图纸等除外），不允许使用活页夹、拉杆夹、文件夹、塑料方便式书脊（插入式或穿孔式）装订。磋商响应文件不得行间插字、涂改、增删。修改错漏处，须经过供应商法定代表人或其委托的代理人（以下称委托代理人）签字（或盖章）并加盖公章。</w:t>
      </w:r>
    </w:p>
    <w:p>
      <w:pPr>
        <w:snapToGrid w:val="0"/>
        <w:spacing w:line="420" w:lineRule="exact"/>
        <w:ind w:firstLine="480" w:firstLineChars="200"/>
        <w:rPr>
          <w:rFonts w:ascii="宋体" w:hAnsi="宋体" w:eastAsia="宋体"/>
          <w:color w:val="auto"/>
          <w:sz w:val="24"/>
          <w:szCs w:val="24"/>
          <w:highlight w:val="none"/>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价格标文件中的所有报价表，必须装订成册。</w:t>
      </w:r>
    </w:p>
    <w:p>
      <w:pPr>
        <w:snapToGrid w:val="0"/>
        <w:spacing w:line="420" w:lineRule="exact"/>
        <w:ind w:firstLine="482" w:firstLineChars="200"/>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四、磋商响应文件的份数、签署和退还</w:t>
      </w:r>
    </w:p>
    <w:p>
      <w:pPr>
        <w:snapToGrid w:val="0"/>
        <w:spacing w:line="420" w:lineRule="exact"/>
        <w:ind w:firstLine="480" w:firstLineChars="200"/>
        <w:rPr>
          <w:rFonts w:ascii="宋体" w:hAnsi="宋体" w:eastAsia="宋体"/>
          <w:b/>
          <w:bCs/>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磋商响应文件均应准备“正本”壹份和“副本”贰份</w:t>
      </w:r>
      <w:r>
        <w:rPr>
          <w:rFonts w:hint="eastAsia" w:ascii="宋体" w:hAnsi="宋体" w:eastAsia="宋体" w:cs="宋体"/>
          <w:b/>
          <w:bCs/>
          <w:color w:val="auto"/>
          <w:sz w:val="24"/>
          <w:szCs w:val="24"/>
          <w:highlight w:val="none"/>
        </w:rPr>
        <w:t>。</w:t>
      </w:r>
    </w:p>
    <w:p>
      <w:pPr>
        <w:snapToGrid w:val="0"/>
        <w:spacing w:line="420" w:lineRule="exact"/>
        <w:ind w:firstLine="480" w:firstLineChars="200"/>
        <w:rPr>
          <w:rFonts w:ascii="宋体" w:hAnsi="宋体" w:eastAsia="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在每一份磋商响应文件上要明确标注项目名称</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、磋商响应文件各自对应的名称、供应商全称、“正本”、“副本”字样，“正本”和“副本”若有差异，概以“正本”为准。</w:t>
      </w:r>
    </w:p>
    <w:p>
      <w:pPr>
        <w:snapToGrid w:val="0"/>
        <w:spacing w:line="420" w:lineRule="exact"/>
        <w:ind w:firstLine="480" w:firstLineChars="200"/>
        <w:rPr>
          <w:rFonts w:ascii="宋体" w:hAnsi="宋体" w:eastAsia="宋体"/>
          <w:color w:val="auto"/>
          <w:sz w:val="24"/>
          <w:szCs w:val="24"/>
          <w:highlight w:val="none"/>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磋商响应文件中的所有“正本”，须为打印的，其正文内容由法定代表人或委托代理人签字（或盖章）并加盖公章，“副本”可为“正本”的复印件。</w:t>
      </w:r>
    </w:p>
    <w:p>
      <w:pPr>
        <w:snapToGrid w:val="0"/>
        <w:spacing w:line="420" w:lineRule="exact"/>
        <w:ind w:firstLine="480" w:firstLineChars="200"/>
        <w:rPr>
          <w:rFonts w:ascii="宋体" w:hAnsi="宋体" w:eastAsia="宋体"/>
          <w:color w:val="auto"/>
          <w:sz w:val="24"/>
          <w:szCs w:val="24"/>
          <w:highlight w:val="none"/>
        </w:rPr>
      </w:pP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磋商程序顺利进行后，所有磋商响应文件都将作为档案保存，不论成交与否，代理机构均不退回（未拆封的除外）。</w:t>
      </w:r>
    </w:p>
    <w:p>
      <w:pPr>
        <w:snapToGrid w:val="0"/>
        <w:spacing w:line="420" w:lineRule="exact"/>
        <w:ind w:firstLine="472" w:firstLineChars="196"/>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五、磋商响应文件的密封及标记</w:t>
      </w:r>
    </w:p>
    <w:p>
      <w:pPr>
        <w:snapToGrid w:val="0"/>
        <w:spacing w:line="420" w:lineRule="exact"/>
        <w:ind w:firstLine="480" w:firstLineChars="200"/>
        <w:rPr>
          <w:rFonts w:ascii="宋体" w:hAnsi="宋体" w:eastAsia="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供应商须将本项目磋商响应文件：【</w:t>
      </w:r>
      <w:r>
        <w:rPr>
          <w:rFonts w:ascii="宋体" w:hAnsi="宋体" w:eastAsia="宋体" w:cs="宋体"/>
          <w:color w:val="auto"/>
          <w:sz w:val="24"/>
          <w:szCs w:val="24"/>
          <w:highlight w:val="none"/>
        </w:rPr>
        <w:t>A</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B</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C</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分别单独密封</w:t>
      </w:r>
      <w:r>
        <w:rPr>
          <w:rFonts w:hint="eastAsia" w:ascii="宋体" w:hAnsi="宋体" w:eastAsia="宋体" w:cs="宋体"/>
          <w:color w:val="auto"/>
          <w:sz w:val="24"/>
          <w:szCs w:val="24"/>
          <w:highlight w:val="none"/>
        </w:rPr>
        <w:t>。</w:t>
      </w:r>
    </w:p>
    <w:p>
      <w:pPr>
        <w:snapToGrid w:val="0"/>
        <w:spacing w:line="420" w:lineRule="exact"/>
        <w:ind w:firstLine="480" w:firstLineChars="200"/>
        <w:rPr>
          <w:rFonts w:ascii="宋体" w:hAnsi="宋体" w:eastAsia="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密封后，应在每一密封件上明确标注磋商项目名称、磋商响应文件各自对应的名称、供应商全称及日期，同时加盖供应商公章。</w:t>
      </w:r>
    </w:p>
    <w:p>
      <w:pPr>
        <w:snapToGrid w:val="0"/>
        <w:spacing w:line="420" w:lineRule="exact"/>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rPr>
        <w:t>【特别提醒】磋商响应文件中【</w:t>
      </w:r>
      <w:r>
        <w:rPr>
          <w:rFonts w:ascii="宋体" w:hAnsi="宋体" w:eastAsia="宋体" w:cs="宋体"/>
          <w:color w:val="auto"/>
          <w:sz w:val="24"/>
          <w:szCs w:val="24"/>
          <w:highlight w:val="none"/>
        </w:rPr>
        <w:t>A</w:t>
      </w:r>
      <w:r>
        <w:rPr>
          <w:rFonts w:hint="eastAsia" w:ascii="宋体" w:hAnsi="宋体" w:eastAsia="宋体" w:cs="宋体"/>
          <w:color w:val="auto"/>
          <w:sz w:val="24"/>
          <w:szCs w:val="24"/>
          <w:highlight w:val="none"/>
        </w:rPr>
        <w:t>】与【</w:t>
      </w:r>
      <w:r>
        <w:rPr>
          <w:rFonts w:ascii="宋体" w:hAnsi="宋体" w:eastAsia="宋体" w:cs="宋体"/>
          <w:color w:val="auto"/>
          <w:sz w:val="24"/>
          <w:szCs w:val="24"/>
          <w:highlight w:val="none"/>
        </w:rPr>
        <w:t>B</w:t>
      </w:r>
      <w:r>
        <w:rPr>
          <w:rFonts w:hint="eastAsia" w:ascii="宋体" w:hAnsi="宋体" w:eastAsia="宋体" w:cs="宋体"/>
          <w:color w:val="auto"/>
          <w:sz w:val="24"/>
          <w:szCs w:val="24"/>
          <w:highlight w:val="none"/>
        </w:rPr>
        <w:t>】的“正本”或“副本”内，均不得含有任何【</w:t>
      </w:r>
      <w:r>
        <w:rPr>
          <w:rFonts w:ascii="宋体" w:hAnsi="宋体" w:eastAsia="宋体" w:cs="宋体"/>
          <w:color w:val="auto"/>
          <w:sz w:val="24"/>
          <w:szCs w:val="24"/>
          <w:highlight w:val="none"/>
        </w:rPr>
        <w:t>C</w:t>
      </w:r>
      <w:r>
        <w:rPr>
          <w:rFonts w:hint="eastAsia" w:ascii="宋体" w:hAnsi="宋体" w:eastAsia="宋体" w:cs="宋体"/>
          <w:color w:val="auto"/>
          <w:sz w:val="24"/>
          <w:szCs w:val="24"/>
          <w:highlight w:val="none"/>
        </w:rPr>
        <w:t>】中的报价表（报价单）的内容，否则作无效磋商处理。</w:t>
      </w:r>
    </w:p>
    <w:p>
      <w:pPr>
        <w:snapToGrid w:val="0"/>
        <w:spacing w:line="420" w:lineRule="exact"/>
        <w:ind w:firstLine="472" w:firstLineChars="196"/>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六、磋商响应文件内容</w:t>
      </w:r>
    </w:p>
    <w:p>
      <w:pPr>
        <w:snapToGrid w:val="0"/>
        <w:spacing w:line="420" w:lineRule="exact"/>
        <w:ind w:firstLine="487" w:firstLineChars="202"/>
        <w:outlineLvl w:val="2"/>
        <w:rPr>
          <w:rFonts w:ascii="宋体" w:hAnsi="宋体" w:eastAsia="宋体"/>
          <w:b/>
          <w:bCs/>
          <w:color w:val="auto"/>
          <w:sz w:val="24"/>
          <w:szCs w:val="24"/>
          <w:highlight w:val="none"/>
        </w:rPr>
      </w:pPr>
      <w:r>
        <w:rPr>
          <w:rFonts w:ascii="宋体" w:hAnsi="宋体" w:eastAsia="宋体" w:cs="宋体"/>
          <w:b/>
          <w:bCs/>
          <w:color w:val="auto"/>
          <w:sz w:val="24"/>
          <w:szCs w:val="24"/>
          <w:highlight w:val="none"/>
        </w:rPr>
        <w:t>A</w:t>
      </w:r>
      <w:r>
        <w:rPr>
          <w:rFonts w:hint="eastAsia" w:ascii="宋体" w:hAnsi="宋体" w:eastAsia="宋体" w:cs="宋体"/>
          <w:b/>
          <w:bCs/>
          <w:color w:val="auto"/>
          <w:sz w:val="24"/>
          <w:szCs w:val="24"/>
          <w:highlight w:val="none"/>
        </w:rPr>
        <w:t>、资格后审材料文件</w:t>
      </w:r>
      <w:r>
        <w:rPr>
          <w:rFonts w:hint="eastAsia" w:ascii="宋体" w:hAnsi="宋体" w:eastAsia="宋体" w:cs="宋体"/>
          <w:color w:val="auto"/>
          <w:sz w:val="24"/>
          <w:szCs w:val="24"/>
          <w:highlight w:val="none"/>
        </w:rPr>
        <w:t>（一个密封包，内含：</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份“正本”和</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份“副本”。）</w:t>
      </w:r>
    </w:p>
    <w:p>
      <w:pPr>
        <w:snapToGrid w:val="0"/>
        <w:spacing w:line="420" w:lineRule="exact"/>
        <w:ind w:firstLine="491" w:firstLineChars="205"/>
        <w:rPr>
          <w:rFonts w:ascii="宋体" w:hAnsi="宋体" w:eastAsia="宋体"/>
          <w:color w:val="auto"/>
          <w:sz w:val="21"/>
          <w:szCs w:val="21"/>
          <w:highlight w:val="none"/>
        </w:rPr>
      </w:pPr>
      <w:r>
        <w:rPr>
          <w:rFonts w:hint="eastAsia" w:ascii="宋体" w:hAnsi="宋体" w:eastAsia="宋体" w:cs="宋体"/>
          <w:color w:val="auto"/>
          <w:sz w:val="24"/>
          <w:szCs w:val="24"/>
          <w:highlight w:val="none"/>
        </w:rPr>
        <w:t>【特别提醒】单位负责人为同一人或者存在直接控股、管理关系的不同供应商，不得同时参与同一采购项目相同标段的政府采购活动；如发现供应商递交的资格后审材料有弄虚作假行为，该供应商将记入不良记录，并上报有关部门，如已成交，招标采购单位有权取消其成交资格，并由该供应商承担一切责任和损失。</w:t>
      </w:r>
    </w:p>
    <w:p>
      <w:pPr>
        <w:snapToGrid w:val="0"/>
        <w:spacing w:line="420" w:lineRule="exact"/>
        <w:ind w:firstLine="491" w:firstLineChars="205"/>
        <w:rPr>
          <w:rFonts w:ascii="宋体" w:hAnsi="宋体" w:eastAsia="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提供磋商响应供应商的《营业执照》原件的复印件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且经营范围包含本项目范围</w:t>
      </w:r>
      <w:r>
        <w:rPr>
          <w:rFonts w:hint="eastAsia" w:ascii="宋体" w:hAnsi="宋体" w:eastAsia="宋体" w:cs="宋体"/>
          <w:color w:val="auto"/>
          <w:sz w:val="24"/>
          <w:szCs w:val="24"/>
          <w:highlight w:val="none"/>
        </w:rPr>
        <w:t>（须加盖公章）。</w:t>
      </w:r>
    </w:p>
    <w:p>
      <w:pPr>
        <w:snapToGrid w:val="0"/>
        <w:spacing w:line="420" w:lineRule="exact"/>
        <w:ind w:firstLine="491" w:firstLineChars="205"/>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法定代表人参加磋商的，必须提供本人身份证原件的复印件（须加盖公章）；非法定代表人参加的，必须提供法定代表人签名或盖章的授权委托书、委托代理人身份证这</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项材料原件的复印件（须加盖公章）。</w:t>
      </w:r>
    </w:p>
    <w:p>
      <w:pPr>
        <w:spacing w:line="420" w:lineRule="exact"/>
        <w:ind w:firstLine="480" w:firstLineChars="200"/>
        <w:outlineLvl w:val="1"/>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3.供应商须具有独到的艺术理念和策划意识，能够满足采购人制作要求，具备策划、拍摄、设计、编剧、撰稿、配乐、灯光、后期制作等专业人才，分工明确，责任到人，提供相应证明材料（须加盖公章）。</w:t>
      </w:r>
    </w:p>
    <w:p>
      <w:pPr>
        <w:snapToGrid w:val="0"/>
        <w:spacing w:line="420" w:lineRule="exact"/>
        <w:ind w:firstLine="484" w:firstLineChars="202"/>
        <w:rPr>
          <w:rFonts w:ascii="宋体" w:hAnsi="宋体" w:eastAsia="宋体"/>
          <w:color w:val="auto"/>
          <w:sz w:val="24"/>
          <w:szCs w:val="24"/>
          <w:highlight w:val="none"/>
        </w:rPr>
      </w:pP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磋商响应供应商须提供参与本次项目政府采购活动前三年内在经营活动中没有重大违法记录的书面《无重大违法记录声明函》（须加盖公章）。</w:t>
      </w:r>
    </w:p>
    <w:p>
      <w:pPr>
        <w:snapToGrid w:val="0"/>
        <w:spacing w:line="420" w:lineRule="exact"/>
        <w:ind w:firstLine="491" w:firstLineChars="205"/>
        <w:rPr>
          <w:rFonts w:ascii="宋体" w:hAnsi="宋体" w:eastAsia="宋体"/>
          <w:color w:val="auto"/>
          <w:sz w:val="24"/>
          <w:szCs w:val="24"/>
          <w:highlight w:val="none"/>
        </w:rPr>
      </w:pP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磋商响应供应商还须提供谈判文件第八章谈判响应文件格式内“三、</w:t>
      </w:r>
      <w:r>
        <w:rPr>
          <w:rFonts w:ascii="宋体" w:hAnsi="宋体" w:eastAsia="宋体" w:cs="宋体"/>
          <w:color w:val="auto"/>
          <w:sz w:val="24"/>
          <w:szCs w:val="24"/>
          <w:highlight w:val="none"/>
        </w:rPr>
        <w:t>A</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A.2</w:t>
      </w:r>
      <w:r>
        <w:rPr>
          <w:rFonts w:hint="eastAsia" w:ascii="宋体" w:hAnsi="宋体" w:eastAsia="宋体" w:cs="宋体"/>
          <w:color w:val="auto"/>
          <w:sz w:val="24"/>
          <w:szCs w:val="24"/>
          <w:highlight w:val="none"/>
        </w:rPr>
        <w:t>、”中的“资格后审材料相关格式文件”内的：关于资格文件的声明函、磋商响应供应商一般情况表。</w:t>
      </w:r>
    </w:p>
    <w:p>
      <w:pPr>
        <w:snapToGrid w:val="0"/>
        <w:spacing w:line="420" w:lineRule="exact"/>
        <w:ind w:firstLine="487" w:firstLineChars="202"/>
        <w:outlineLvl w:val="2"/>
        <w:rPr>
          <w:rFonts w:ascii="宋体" w:hAnsi="宋体" w:eastAsia="宋体"/>
          <w:b/>
          <w:bCs/>
          <w:color w:val="auto"/>
          <w:sz w:val="24"/>
          <w:szCs w:val="24"/>
          <w:highlight w:val="none"/>
        </w:rPr>
      </w:pPr>
      <w:r>
        <w:rPr>
          <w:rFonts w:ascii="宋体" w:hAnsi="宋体" w:eastAsia="宋体" w:cs="宋体"/>
          <w:b/>
          <w:bCs/>
          <w:color w:val="auto"/>
          <w:sz w:val="24"/>
          <w:szCs w:val="24"/>
          <w:highlight w:val="none"/>
        </w:rPr>
        <w:t>B</w:t>
      </w:r>
      <w:r>
        <w:rPr>
          <w:rFonts w:hint="eastAsia" w:ascii="宋体" w:hAnsi="宋体" w:eastAsia="宋体" w:cs="宋体"/>
          <w:b/>
          <w:bCs/>
          <w:color w:val="auto"/>
          <w:sz w:val="24"/>
          <w:szCs w:val="24"/>
          <w:highlight w:val="none"/>
        </w:rPr>
        <w:t>、技术标文件</w:t>
      </w:r>
      <w:r>
        <w:rPr>
          <w:rFonts w:hint="eastAsia" w:ascii="宋体" w:hAnsi="宋体" w:eastAsia="宋体" w:cs="宋体"/>
          <w:color w:val="auto"/>
          <w:sz w:val="24"/>
          <w:szCs w:val="24"/>
          <w:highlight w:val="none"/>
        </w:rPr>
        <w:t>（一个密封包，内含：</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份“正本”和</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份“副本”。）</w:t>
      </w:r>
      <w:r>
        <w:rPr>
          <w:rFonts w:hint="eastAsia" w:ascii="宋体" w:hAnsi="宋体" w:eastAsia="宋体" w:cs="宋体"/>
          <w:b/>
          <w:bCs/>
          <w:color w:val="auto"/>
          <w:sz w:val="24"/>
          <w:szCs w:val="24"/>
          <w:highlight w:val="none"/>
        </w:rPr>
        <w:t>（格式参见第八章）</w:t>
      </w:r>
    </w:p>
    <w:p>
      <w:pPr>
        <w:snapToGrid w:val="0"/>
        <w:spacing w:line="420" w:lineRule="exact"/>
        <w:ind w:firstLine="491" w:firstLineChars="205"/>
        <w:rPr>
          <w:rFonts w:ascii="宋体" w:hAnsi="宋体" w:eastAsia="宋体"/>
          <w:color w:val="auto"/>
          <w:sz w:val="24"/>
          <w:szCs w:val="24"/>
          <w:highlight w:val="none"/>
        </w:rPr>
      </w:pPr>
      <w:r>
        <w:rPr>
          <w:rFonts w:hint="eastAsia" w:ascii="宋体" w:hAnsi="宋体" w:eastAsia="宋体" w:cs="宋体"/>
          <w:color w:val="auto"/>
          <w:sz w:val="24"/>
          <w:szCs w:val="24"/>
          <w:highlight w:val="none"/>
        </w:rPr>
        <w:t>【特别提醒】</w:t>
      </w:r>
      <w:r>
        <w:rPr>
          <w:rFonts w:hint="eastAsia" w:ascii="宋体" w:hAnsi="宋体" w:eastAsia="宋体" w:cs="宋体"/>
          <w:color w:val="auto"/>
          <w:sz w:val="24"/>
          <w:szCs w:val="24"/>
          <w:highlight w:val="none"/>
          <w:u w:val="thick" w:color="FF0000"/>
        </w:rPr>
        <w:t>供应商应根据本磋商文件第三章“项目需求”提供的采购需求清单，仔细阅读并在理解的基础上结合第四章“评审程序和方法”内的评审细则编写编制技术标文件，并提供评分标准中所涉及到的相应材料</w:t>
      </w:r>
      <w:r>
        <w:rPr>
          <w:rFonts w:hint="eastAsia" w:ascii="宋体" w:hAnsi="宋体" w:eastAsia="宋体" w:cs="宋体"/>
          <w:color w:val="auto"/>
          <w:sz w:val="24"/>
          <w:szCs w:val="24"/>
          <w:highlight w:val="none"/>
        </w:rPr>
        <w:t>。以下技术标文件的内容，不得有缺项或漏项。否则将有可能被视为未实质性响应磋商文件要求而作无效磋商处理，亦可能直接影响技术磋商评审的得分。</w:t>
      </w:r>
      <w:r>
        <w:rPr>
          <w:rFonts w:hint="eastAsia" w:ascii="宋体" w:hAnsi="宋体" w:eastAsia="宋体" w:cs="宋体"/>
          <w:color w:val="auto"/>
          <w:sz w:val="24"/>
          <w:szCs w:val="24"/>
          <w:highlight w:val="none"/>
          <w:u w:val="thick" w:color="FF0000"/>
        </w:rPr>
        <w:t>凡涉及材料原件的，须将材料原件带至开标现场，以便评审核查</w:t>
      </w:r>
      <w:r>
        <w:rPr>
          <w:rFonts w:hint="eastAsia" w:ascii="宋体" w:hAnsi="宋体" w:eastAsia="宋体" w:cs="宋体"/>
          <w:color w:val="auto"/>
          <w:sz w:val="24"/>
          <w:szCs w:val="24"/>
          <w:highlight w:val="none"/>
        </w:rPr>
        <w:t>。</w:t>
      </w:r>
    </w:p>
    <w:p>
      <w:pPr>
        <w:spacing w:line="420" w:lineRule="exact"/>
        <w:ind w:firstLine="487" w:firstLineChars="202"/>
        <w:outlineLvl w:val="3"/>
        <w:rPr>
          <w:rFonts w:ascii="宋体" w:hAnsi="宋体" w:eastAsia="宋体"/>
          <w:b/>
          <w:bCs/>
          <w:color w:val="auto"/>
          <w:sz w:val="24"/>
          <w:szCs w:val="24"/>
          <w:highlight w:val="none"/>
        </w:rPr>
      </w:pPr>
      <w:r>
        <w:rPr>
          <w:rFonts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rPr>
        <w:t>竞争性磋商响应函；</w:t>
      </w:r>
    </w:p>
    <w:p>
      <w:pPr>
        <w:spacing w:line="420" w:lineRule="exact"/>
        <w:ind w:firstLine="487" w:firstLineChars="202"/>
        <w:outlineLvl w:val="3"/>
        <w:rPr>
          <w:rFonts w:ascii="宋体" w:hAnsi="宋体" w:eastAsia="宋体"/>
          <w:b/>
          <w:bCs/>
          <w:color w:val="auto"/>
          <w:sz w:val="24"/>
          <w:szCs w:val="24"/>
          <w:highlight w:val="none"/>
        </w:rPr>
      </w:pPr>
      <w:r>
        <w:rPr>
          <w:rFonts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rPr>
        <w:t>技术响应（技术标评审涉及到的相关资料）</w:t>
      </w:r>
    </w:p>
    <w:p>
      <w:pPr>
        <w:spacing w:line="420" w:lineRule="exact"/>
        <w:ind w:firstLine="487" w:firstLineChars="202"/>
        <w:outlineLvl w:val="2"/>
        <w:rPr>
          <w:rFonts w:ascii="宋体" w:hAnsi="宋体" w:eastAsia="宋体"/>
          <w:b/>
          <w:bCs/>
          <w:color w:val="auto"/>
          <w:sz w:val="24"/>
          <w:szCs w:val="24"/>
          <w:highlight w:val="none"/>
        </w:rPr>
      </w:pPr>
      <w:r>
        <w:rPr>
          <w:rFonts w:ascii="宋体" w:hAnsi="宋体" w:eastAsia="宋体" w:cs="宋体"/>
          <w:b/>
          <w:bCs/>
          <w:color w:val="auto"/>
          <w:sz w:val="24"/>
          <w:szCs w:val="24"/>
          <w:highlight w:val="none"/>
        </w:rPr>
        <w:t>C</w:t>
      </w:r>
      <w:r>
        <w:rPr>
          <w:rFonts w:hint="eastAsia" w:ascii="宋体" w:hAnsi="宋体" w:eastAsia="宋体" w:cs="宋体"/>
          <w:b/>
          <w:bCs/>
          <w:color w:val="auto"/>
          <w:sz w:val="24"/>
          <w:szCs w:val="24"/>
          <w:highlight w:val="none"/>
        </w:rPr>
        <w:t>、价格标文件：</w:t>
      </w:r>
      <w:r>
        <w:rPr>
          <w:rFonts w:hint="eastAsia" w:ascii="宋体" w:hAnsi="宋体" w:eastAsia="宋体" w:cs="宋体"/>
          <w:color w:val="auto"/>
          <w:sz w:val="24"/>
          <w:szCs w:val="24"/>
          <w:highlight w:val="none"/>
        </w:rPr>
        <w:t>（一个密封包，内含：</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份“正本”和</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份“副本”。）</w:t>
      </w:r>
    </w:p>
    <w:p>
      <w:pPr>
        <w:spacing w:line="420" w:lineRule="exact"/>
        <w:ind w:firstLine="484" w:firstLineChars="202"/>
        <w:rPr>
          <w:rFonts w:ascii="宋体" w:hAnsi="宋体" w:eastAsia="宋体"/>
          <w:color w:val="auto"/>
          <w:sz w:val="24"/>
          <w:szCs w:val="24"/>
          <w:highlight w:val="none"/>
        </w:rPr>
      </w:pPr>
      <w:r>
        <w:rPr>
          <w:rFonts w:hint="eastAsia" w:ascii="宋体" w:hAnsi="宋体" w:eastAsia="宋体" w:cs="宋体"/>
          <w:color w:val="auto"/>
          <w:sz w:val="24"/>
          <w:szCs w:val="24"/>
          <w:highlight w:val="none"/>
        </w:rPr>
        <w:t>【特别提醒】价格标文件中的报价，包括本竞争性磋商文件规定涵盖的所有招标磋商范围及相应说明的全部内容涉及到的费用。本次磋商采购项目的商务付款方式，必须全部响应，不得有任何负偏离，且不接受任何意在更改的说明，否则作无效磋商处理。供应商成交后如据此提出疑义，不履行签订合同等下一步工作，采购人有权取消其成交资格。</w:t>
      </w:r>
    </w:p>
    <w:p>
      <w:pPr>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磋商响应报价（首次）总表（格式）；</w:t>
      </w:r>
    </w:p>
    <w:p>
      <w:pPr>
        <w:spacing w:line="420" w:lineRule="exact"/>
        <w:ind w:firstLine="484" w:firstLineChars="202"/>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磋商响应报价明细表（格式自拟）。</w:t>
      </w:r>
    </w:p>
    <w:p>
      <w:pPr>
        <w:spacing w:line="420" w:lineRule="exact"/>
        <w:ind w:firstLine="487" w:firstLineChars="202"/>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七、联合体</w:t>
      </w:r>
    </w:p>
    <w:p>
      <w:pPr>
        <w:snapToGrid w:val="0"/>
        <w:spacing w:line="420" w:lineRule="exact"/>
        <w:ind w:firstLine="484" w:firstLineChars="202"/>
        <w:rPr>
          <w:rFonts w:ascii="宋体" w:hAnsi="宋体" w:eastAsia="宋体"/>
          <w:color w:val="auto"/>
          <w:sz w:val="24"/>
          <w:szCs w:val="24"/>
          <w:highlight w:val="none"/>
        </w:rPr>
      </w:pPr>
      <w:r>
        <w:rPr>
          <w:rFonts w:hint="eastAsia" w:ascii="宋体" w:hAnsi="宋体" w:eastAsia="宋体" w:cs="宋体"/>
          <w:color w:val="auto"/>
          <w:sz w:val="24"/>
          <w:szCs w:val="24"/>
          <w:highlight w:val="none"/>
        </w:rPr>
        <w:t>本项目不接受多个供应商组成联合体参与磋商响应。</w:t>
      </w:r>
    </w:p>
    <w:p>
      <w:pPr>
        <w:snapToGrid w:val="0"/>
        <w:spacing w:line="420" w:lineRule="exact"/>
        <w:ind w:firstLine="482" w:firstLineChars="200"/>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八、磋商报价</w:t>
      </w:r>
    </w:p>
    <w:p>
      <w:pPr>
        <w:snapToGrid w:val="0"/>
        <w:spacing w:line="420" w:lineRule="exact"/>
        <w:ind w:firstLine="494" w:firstLineChars="206"/>
        <w:rPr>
          <w:rFonts w:ascii="宋体" w:hAnsi="宋体" w:eastAsia="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本项目不接受任何有选择的报价。</w:t>
      </w:r>
    </w:p>
    <w:p>
      <w:pPr>
        <w:snapToGrid w:val="0"/>
        <w:spacing w:line="420" w:lineRule="exact"/>
        <w:ind w:firstLine="494" w:firstLineChars="206"/>
        <w:rPr>
          <w:rFonts w:ascii="宋体" w:hAnsi="宋体" w:eastAsia="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报价均以人民币为报价的货币单位。</w:t>
      </w:r>
    </w:p>
    <w:p>
      <w:pPr>
        <w:snapToGrid w:val="0"/>
        <w:spacing w:line="420" w:lineRule="exact"/>
        <w:ind w:firstLine="494" w:firstLineChars="206"/>
        <w:rPr>
          <w:rFonts w:ascii="宋体" w:hAnsi="宋体" w:eastAsia="宋体"/>
          <w:color w:val="auto"/>
          <w:sz w:val="24"/>
          <w:szCs w:val="24"/>
          <w:highlight w:val="none"/>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报价表必须加盖报价人公章且必须经法定代表人或其委托授权人签署。</w:t>
      </w:r>
    </w:p>
    <w:p>
      <w:pPr>
        <w:snapToGrid w:val="0"/>
        <w:spacing w:line="420" w:lineRule="exact"/>
        <w:ind w:firstLine="494" w:firstLineChars="206"/>
        <w:rPr>
          <w:rFonts w:ascii="宋体" w:hAnsi="宋体" w:eastAsia="宋体"/>
          <w:color w:val="auto"/>
          <w:sz w:val="24"/>
          <w:szCs w:val="24"/>
          <w:highlight w:val="none"/>
        </w:rPr>
      </w:pP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磋商报价出现前后不一致的，按照下列规定修正：</w:t>
      </w:r>
    </w:p>
    <w:p>
      <w:pPr>
        <w:snapToGrid w:val="0"/>
        <w:spacing w:line="420" w:lineRule="exact"/>
        <w:ind w:firstLine="494" w:firstLineChars="206"/>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）磋商响应文件中报价表（开标一览表）内容与磋商文件技术响应中内容明细不一致的，以报价表（开标一览表）为准；</w:t>
      </w:r>
    </w:p>
    <w:p>
      <w:pPr>
        <w:snapToGrid w:val="0"/>
        <w:spacing w:line="420" w:lineRule="exact"/>
        <w:ind w:firstLine="494" w:firstLineChars="206"/>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）磋商响应文件中涉及大写金额和小写金额不一致的，以大写金额为准；</w:t>
      </w:r>
    </w:p>
    <w:p>
      <w:pPr>
        <w:snapToGrid w:val="0"/>
        <w:spacing w:line="420" w:lineRule="exact"/>
        <w:ind w:firstLine="494" w:firstLineChars="206"/>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）单价金额小数点或者百分比有明显错位的，以报价表（开标一览表）的总价为准，并修改单价；</w:t>
      </w:r>
    </w:p>
    <w:p>
      <w:pPr>
        <w:snapToGrid w:val="0"/>
        <w:spacing w:line="420" w:lineRule="exact"/>
        <w:ind w:firstLine="494" w:firstLineChars="206"/>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）总价金额与按单价汇总金额不一致的，以单价金额计算结果为准。</w:t>
      </w:r>
    </w:p>
    <w:p>
      <w:pPr>
        <w:snapToGrid w:val="0"/>
        <w:spacing w:line="420" w:lineRule="exact"/>
        <w:ind w:firstLine="494" w:firstLineChars="206"/>
        <w:rPr>
          <w:rFonts w:ascii="宋体" w:hAnsi="宋体" w:eastAsia="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同时出现两种以上不一致的，按照前款规定的顺序修正。修正后的报价应当由磋商响应供应商的法定代表人或其授权的代表签字确认后产生约束力，磋商响应供应商不确认的，其投标磋商无效。</w:t>
      </w:r>
    </w:p>
    <w:p>
      <w:pPr>
        <w:snapToGrid w:val="0"/>
        <w:spacing w:line="420" w:lineRule="exact"/>
        <w:ind w:firstLine="494" w:firstLineChars="206"/>
        <w:rPr>
          <w:rFonts w:ascii="宋体" w:hAnsi="宋体" w:eastAsia="宋体"/>
          <w:color w:val="auto"/>
          <w:highlight w:val="none"/>
        </w:rPr>
      </w:pPr>
      <w:r>
        <w:rPr>
          <w:rFonts w:ascii="宋体" w:hAnsi="宋体" w:eastAsia="宋体" w:cs="宋体"/>
          <w:color w:val="auto"/>
          <w:sz w:val="24"/>
          <w:szCs w:val="24"/>
          <w:highlight w:val="none"/>
        </w:rPr>
        <w:t>5.</w:t>
      </w:r>
      <w:bookmarkStart w:id="5" w:name="_Hlk524490877"/>
      <w:r>
        <w:rPr>
          <w:rFonts w:hint="eastAsia" w:ascii="宋体" w:hAnsi="宋体" w:eastAsia="宋体" w:cs="宋体"/>
          <w:color w:val="auto"/>
          <w:sz w:val="24"/>
          <w:szCs w:val="24"/>
          <w:highlight w:val="none"/>
        </w:rPr>
        <w:t>本项目磋商报价约定：</w:t>
      </w:r>
    </w:p>
    <w:p>
      <w:pPr>
        <w:snapToGrid w:val="0"/>
        <w:spacing w:line="420" w:lineRule="exact"/>
        <w:ind w:firstLine="494" w:firstLineChars="206"/>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）投标总报价（以人民币计价）应包括本项目的</w:t>
      </w:r>
      <w:r>
        <w:rPr>
          <w:rFonts w:hint="eastAsia" w:ascii="宋体" w:hAnsi="宋体" w:eastAsia="宋体" w:cs="宋体"/>
          <w:color w:val="auto"/>
          <w:sz w:val="24"/>
          <w:szCs w:val="24"/>
          <w:highlight w:val="none"/>
          <w:lang w:val="en-US" w:eastAsia="zh-CN"/>
        </w:rPr>
        <w:t>党史专家、文学统筹及客串演员费用、</w:t>
      </w:r>
      <w:r>
        <w:rPr>
          <w:rFonts w:hint="eastAsia" w:ascii="宋体" w:hAnsi="宋体" w:eastAsia="宋体" w:cs="宋体"/>
          <w:color w:val="auto"/>
          <w:sz w:val="24"/>
          <w:szCs w:val="24"/>
          <w:highlight w:val="none"/>
        </w:rPr>
        <w:t>设计费、材料费、</w:t>
      </w:r>
      <w:r>
        <w:rPr>
          <w:rFonts w:hint="eastAsia" w:ascii="宋体" w:hAnsi="宋体" w:eastAsia="宋体" w:cs="宋体"/>
          <w:color w:val="auto"/>
          <w:sz w:val="24"/>
          <w:szCs w:val="24"/>
          <w:highlight w:val="none"/>
          <w:lang w:val="en-US" w:eastAsia="zh-CN"/>
        </w:rPr>
        <w:t>拍摄费</w:t>
      </w:r>
      <w:r>
        <w:rPr>
          <w:rFonts w:hint="eastAsia" w:ascii="宋体" w:hAnsi="宋体" w:eastAsia="宋体" w:cs="宋体"/>
          <w:color w:val="auto"/>
          <w:sz w:val="24"/>
          <w:szCs w:val="24"/>
          <w:highlight w:val="none"/>
        </w:rPr>
        <w:t>、员工工资、保险、管理费、利润、税金及合同实施过程中的不可预见等所有费用，即招标物交付使用的所有服务费用。</w:t>
      </w:r>
      <w:r>
        <w:rPr>
          <w:rFonts w:ascii="宋体" w:hAnsi="宋体" w:eastAsia="宋体" w:cs="宋体"/>
          <w:color w:val="auto"/>
          <w:sz w:val="24"/>
          <w:szCs w:val="24"/>
          <w:highlight w:val="none"/>
        </w:rPr>
        <w:t xml:space="preserve"> </w:t>
      </w:r>
    </w:p>
    <w:p>
      <w:pPr>
        <w:snapToGrid w:val="0"/>
        <w:spacing w:line="420" w:lineRule="exact"/>
        <w:ind w:firstLine="494" w:firstLineChars="206"/>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）磋商响应供应商的磋商报价中应含的保险费按如下规定办理：</w:t>
      </w:r>
    </w:p>
    <w:p>
      <w:pPr>
        <w:snapToGrid w:val="0"/>
        <w:spacing w:line="420" w:lineRule="exact"/>
        <w:ind w:firstLine="494" w:firstLineChars="206"/>
        <w:rPr>
          <w:rFonts w:ascii="宋体" w:hAnsi="宋体" w:eastAsia="宋体"/>
          <w:color w:val="auto"/>
          <w:sz w:val="24"/>
          <w:szCs w:val="24"/>
          <w:highlight w:val="none"/>
        </w:rPr>
      </w:pPr>
      <w:r>
        <w:rPr>
          <w:rFonts w:hint="eastAsia" w:ascii="宋体" w:hAnsi="宋体" w:eastAsia="宋体" w:cs="宋体"/>
          <w:color w:val="auto"/>
          <w:sz w:val="24"/>
          <w:szCs w:val="24"/>
          <w:highlight w:val="none"/>
        </w:rPr>
        <w:t>第三方责任险、所有工作人员装备险及其他职工的（人身）事故险由磋商供应商自行投保，保险费由成交供应商自行承担并支付，并包含在磋商报价中，不单独报价。</w:t>
      </w:r>
    </w:p>
    <w:p>
      <w:pPr>
        <w:snapToGrid w:val="0"/>
        <w:spacing w:line="420" w:lineRule="exact"/>
        <w:ind w:firstLine="494" w:firstLineChars="206"/>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）磋商报价中应包括磋商文件未明确列出但按常规应当包括的所有费用。</w:t>
      </w:r>
    </w:p>
    <w:p>
      <w:pPr>
        <w:snapToGrid w:val="0"/>
        <w:spacing w:line="420" w:lineRule="exact"/>
        <w:ind w:firstLine="494" w:firstLineChars="206"/>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）磋商响应供应商在磋商过程中发生的其他一切费用，不论中标与否，均由供应商自负。</w:t>
      </w:r>
    </w:p>
    <w:bookmarkEnd w:id="5"/>
    <w:p>
      <w:pPr>
        <w:snapToGrid w:val="0"/>
        <w:spacing w:line="420" w:lineRule="exact"/>
        <w:ind w:firstLine="494" w:firstLineChars="206"/>
        <w:rPr>
          <w:rFonts w:ascii="宋体" w:hAnsi="宋体" w:eastAsia="宋体"/>
          <w:color w:val="auto"/>
          <w:sz w:val="24"/>
          <w:szCs w:val="24"/>
          <w:highlight w:val="none"/>
        </w:rPr>
      </w:pPr>
      <w:r>
        <w:rPr>
          <w:rFonts w:ascii="宋体" w:hAnsi="宋体" w:eastAsia="宋体" w:cs="宋体"/>
          <w:color w:val="auto"/>
          <w:sz w:val="24"/>
          <w:szCs w:val="24"/>
          <w:highlight w:val="none"/>
        </w:rPr>
        <w:t>6.</w:t>
      </w:r>
      <w:r>
        <w:rPr>
          <w:rFonts w:hint="eastAsia" w:ascii="宋体" w:hAnsi="宋体" w:eastAsia="宋体" w:cs="宋体"/>
          <w:color w:val="auto"/>
          <w:sz w:val="24"/>
          <w:szCs w:val="24"/>
          <w:highlight w:val="none"/>
          <w:u w:val="thick" w:color="FF0000"/>
        </w:rPr>
        <w:t>本磋商项目服务响应报价有现场最终（二次）报价</w:t>
      </w:r>
      <w:r>
        <w:rPr>
          <w:rFonts w:hint="eastAsia" w:ascii="宋体" w:hAnsi="宋体" w:eastAsia="宋体" w:cs="宋体"/>
          <w:color w:val="auto"/>
          <w:sz w:val="24"/>
          <w:szCs w:val="24"/>
          <w:highlight w:val="none"/>
        </w:rPr>
        <w:t>。</w:t>
      </w:r>
    </w:p>
    <w:p>
      <w:pPr>
        <w:snapToGrid w:val="0"/>
        <w:spacing w:line="420" w:lineRule="exact"/>
        <w:ind w:firstLine="494" w:firstLineChars="206"/>
        <w:rPr>
          <w:rFonts w:ascii="宋体" w:hAnsi="宋体" w:eastAsia="宋体"/>
          <w:color w:val="auto"/>
          <w:sz w:val="24"/>
          <w:szCs w:val="24"/>
          <w:highlight w:val="none"/>
        </w:rPr>
      </w:pPr>
      <w:r>
        <w:rPr>
          <w:rFonts w:ascii="宋体" w:hAnsi="宋体" w:eastAsia="宋体" w:cs="宋体"/>
          <w:color w:val="auto"/>
          <w:sz w:val="24"/>
          <w:szCs w:val="24"/>
          <w:highlight w:val="none"/>
        </w:rPr>
        <w:t>7.</w:t>
      </w:r>
      <w:r>
        <w:rPr>
          <w:rFonts w:hint="eastAsia" w:ascii="宋体" w:hAnsi="宋体" w:eastAsia="宋体" w:cs="宋体"/>
          <w:color w:val="auto"/>
          <w:sz w:val="24"/>
          <w:szCs w:val="24"/>
          <w:highlight w:val="none"/>
        </w:rPr>
        <w:t>除非因特殊原因并经买卖双方协商同意，成交的供应商（以下称成交人）不得再要求追加任何费用。同时，除非合同条款中另有规定，否则，成交人的成交价在合同实施期间不因市场变化因素而变动。</w:t>
      </w:r>
    </w:p>
    <w:p>
      <w:pPr>
        <w:snapToGrid w:val="0"/>
        <w:spacing w:line="420" w:lineRule="exact"/>
        <w:ind w:firstLine="496" w:firstLineChars="206"/>
        <w:outlineLvl w:val="1"/>
        <w:rPr>
          <w:rFonts w:ascii="宋体" w:hAnsi="宋体" w:eastAsia="宋体"/>
          <w:color w:val="auto"/>
          <w:sz w:val="24"/>
          <w:szCs w:val="24"/>
          <w:highlight w:val="none"/>
        </w:rPr>
      </w:pPr>
      <w:r>
        <w:rPr>
          <w:rFonts w:hint="eastAsia" w:ascii="宋体" w:hAnsi="宋体" w:eastAsia="宋体" w:cs="宋体"/>
          <w:b/>
          <w:bCs/>
          <w:color w:val="auto"/>
          <w:sz w:val="24"/>
          <w:szCs w:val="24"/>
          <w:highlight w:val="none"/>
        </w:rPr>
        <w:t>九、磋商响应文件的有效期</w:t>
      </w:r>
    </w:p>
    <w:p>
      <w:pPr>
        <w:spacing w:line="420" w:lineRule="exact"/>
        <w:ind w:firstLine="480" w:firstLineChars="200"/>
        <w:rPr>
          <w:rFonts w:ascii="宋体" w:hAnsi="宋体" w:eastAsia="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从磋商响应文件接收截止之日算起，</w:t>
      </w:r>
      <w:r>
        <w:rPr>
          <w:rFonts w:ascii="宋体" w:hAnsi="宋体" w:eastAsia="宋体" w:cs="宋体"/>
          <w:b/>
          <w:bCs/>
          <w:color w:val="auto"/>
          <w:sz w:val="24"/>
          <w:szCs w:val="24"/>
          <w:highlight w:val="none"/>
        </w:rPr>
        <w:t>45</w:t>
      </w:r>
      <w:r>
        <w:rPr>
          <w:rFonts w:hint="eastAsia" w:ascii="宋体" w:hAnsi="宋体" w:eastAsia="宋体" w:cs="宋体"/>
          <w:color w:val="auto"/>
          <w:sz w:val="24"/>
          <w:szCs w:val="24"/>
          <w:highlight w:val="none"/>
        </w:rPr>
        <w:t>个日历天内投标书应保持有效。有效期短于这个规定期限的投标，将被拒绝。</w:t>
      </w:r>
    </w:p>
    <w:p>
      <w:pPr>
        <w:spacing w:line="420" w:lineRule="exact"/>
        <w:ind w:firstLine="482" w:firstLineChars="200"/>
        <w:outlineLvl w:val="1"/>
        <w:rPr>
          <w:rFonts w:ascii="宋体" w:hAnsi="宋体" w:eastAsia="宋体"/>
          <w:color w:val="auto"/>
          <w:sz w:val="24"/>
          <w:szCs w:val="24"/>
          <w:highlight w:val="none"/>
        </w:rPr>
      </w:pPr>
      <w:r>
        <w:rPr>
          <w:rFonts w:hint="eastAsia" w:ascii="宋体" w:hAnsi="宋体" w:eastAsia="宋体" w:cs="宋体"/>
          <w:b/>
          <w:bCs/>
          <w:color w:val="auto"/>
          <w:sz w:val="24"/>
          <w:szCs w:val="24"/>
          <w:highlight w:val="none"/>
        </w:rPr>
        <w:t>十、磋商响应文件的递交接收</w:t>
      </w:r>
    </w:p>
    <w:p>
      <w:pPr>
        <w:spacing w:line="420" w:lineRule="exact"/>
        <w:ind w:firstLine="480" w:firstLineChars="200"/>
        <w:rPr>
          <w:rFonts w:ascii="宋体" w:hAnsi="宋体" w:eastAsia="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磋商响应文件接收截止及评审的时间：</w:t>
      </w:r>
      <w:r>
        <w:rPr>
          <w:rFonts w:hint="eastAsia" w:ascii="宋体" w:hAnsi="宋体" w:eastAsia="宋体" w:cs="宋体"/>
          <w:color w:val="auto"/>
          <w:sz w:val="24"/>
          <w:szCs w:val="24"/>
          <w:highlight w:val="none"/>
          <w:lang w:val="en-US" w:eastAsia="zh-CN"/>
        </w:rPr>
        <w:t>2022年5月20 日上午9 时30分</w:t>
      </w:r>
      <w:r>
        <w:rPr>
          <w:rFonts w:hint="eastAsia" w:ascii="宋体" w:hAnsi="宋体" w:eastAsia="宋体" w:cs="宋体"/>
          <w:color w:val="auto"/>
          <w:sz w:val="24"/>
          <w:szCs w:val="24"/>
          <w:highlight w:val="none"/>
        </w:rPr>
        <w:t>。地址：</w:t>
      </w:r>
      <w:r>
        <w:rPr>
          <w:rFonts w:hint="eastAsia" w:ascii="宋体" w:hAnsi="宋体" w:eastAsia="宋体" w:cs="宋体"/>
          <w:b/>
          <w:bCs/>
          <w:color w:val="auto"/>
          <w:sz w:val="24"/>
          <w:szCs w:val="24"/>
          <w:highlight w:val="none"/>
          <w:lang w:eastAsia="zh-CN"/>
        </w:rPr>
        <w:t>南通市行政中心综合楼736会议室</w:t>
      </w:r>
      <w:r>
        <w:rPr>
          <w:rFonts w:hint="eastAsia" w:ascii="宋体" w:hAnsi="宋体" w:eastAsia="宋体" w:cs="宋体"/>
          <w:color w:val="auto"/>
          <w:sz w:val="24"/>
          <w:szCs w:val="24"/>
          <w:highlight w:val="none"/>
        </w:rPr>
        <w:t>，如有变动另行通知。</w:t>
      </w:r>
    </w:p>
    <w:p>
      <w:pPr>
        <w:snapToGrid w:val="0"/>
        <w:spacing w:line="420" w:lineRule="exact"/>
        <w:ind w:firstLine="496" w:firstLineChars="206"/>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十一、磋商费用：</w:t>
      </w:r>
    </w:p>
    <w:p>
      <w:pPr>
        <w:snapToGrid w:val="0"/>
        <w:spacing w:line="420" w:lineRule="exact"/>
        <w:ind w:firstLine="494" w:firstLineChars="206"/>
        <w:outlineLvl w:val="1"/>
        <w:rPr>
          <w:rFonts w:ascii="宋体" w:hAnsi="宋体" w:eastAsia="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竞争性磋商采购文件</w:t>
      </w:r>
      <w:r>
        <w:rPr>
          <w:rFonts w:hint="eastAsia" w:ascii="宋体" w:hAnsi="宋体" w:eastAsia="宋体" w:cs="宋体"/>
          <w:color w:val="auto"/>
          <w:sz w:val="24"/>
          <w:szCs w:val="24"/>
          <w:highlight w:val="none"/>
          <w:lang w:val="en-US" w:eastAsia="zh-CN"/>
        </w:rPr>
        <w:t>200</w:t>
      </w:r>
      <w:r>
        <w:rPr>
          <w:rFonts w:ascii="宋体" w:hAnsi="宋体" w:eastAsia="宋体" w:cs="宋体"/>
          <w:color w:val="auto"/>
          <w:sz w:val="24"/>
          <w:szCs w:val="24"/>
          <w:highlight w:val="none"/>
        </w:rPr>
        <w:t>.00</w:t>
      </w:r>
      <w:r>
        <w:rPr>
          <w:rFonts w:hint="eastAsia" w:ascii="宋体" w:hAnsi="宋体" w:eastAsia="宋体" w:cs="宋体"/>
          <w:color w:val="auto"/>
          <w:sz w:val="24"/>
          <w:szCs w:val="24"/>
          <w:highlight w:val="none"/>
        </w:rPr>
        <w:t>元</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份，该采购文件费用无论是否成交均不予退回，并以现金的形式在递交磋商响应文件时交纳给采购代理机构。</w:t>
      </w:r>
    </w:p>
    <w:p>
      <w:pPr>
        <w:snapToGrid w:val="0"/>
        <w:spacing w:line="420" w:lineRule="exact"/>
        <w:ind w:firstLine="494" w:firstLineChars="206"/>
        <w:rPr>
          <w:rFonts w:ascii="宋体" w:hAnsi="宋体" w:eastAsia="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无论磋商过程和结果如何，供应商自行承担与本项目磋商有关的全部费用。</w:t>
      </w:r>
    </w:p>
    <w:p>
      <w:pPr>
        <w:snapToGrid w:val="0"/>
        <w:spacing w:line="420" w:lineRule="exact"/>
        <w:ind w:firstLine="496" w:firstLineChars="206"/>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十二、履约保证金</w:t>
      </w:r>
    </w:p>
    <w:p>
      <w:pPr>
        <w:snapToGrid w:val="0"/>
        <w:spacing w:line="420" w:lineRule="exact"/>
        <w:ind w:firstLine="480" w:firstLineChars="200"/>
        <w:rPr>
          <w:rFonts w:ascii="宋体" w:hAnsi="宋体" w:eastAsia="宋体"/>
          <w:color w:val="auto"/>
          <w:sz w:val="24"/>
          <w:szCs w:val="24"/>
          <w:highlight w:val="none"/>
          <w:lang w:val="zh-CN"/>
        </w:rPr>
      </w:pPr>
      <w:r>
        <w:rPr>
          <w:rFonts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zh-CN"/>
        </w:rPr>
        <w:t>本项目成交后的履约</w:t>
      </w:r>
      <w:r>
        <w:rPr>
          <w:rFonts w:hint="eastAsia" w:ascii="宋体" w:hAnsi="宋体" w:eastAsia="宋体" w:cs="宋体"/>
          <w:color w:val="auto"/>
          <w:sz w:val="24"/>
          <w:szCs w:val="24"/>
          <w:highlight w:val="none"/>
        </w:rPr>
        <w:t>保证金</w:t>
      </w:r>
      <w:r>
        <w:rPr>
          <w:rFonts w:hint="eastAsia" w:ascii="宋体" w:hAnsi="宋体" w:eastAsia="宋体" w:cs="宋体"/>
          <w:color w:val="auto"/>
          <w:sz w:val="24"/>
          <w:szCs w:val="24"/>
          <w:highlight w:val="none"/>
          <w:lang w:val="zh-CN"/>
        </w:rPr>
        <w:t>为项目合同总价款</w:t>
      </w:r>
      <w:r>
        <w:rPr>
          <w:rFonts w:hint="eastAsia" w:ascii="宋体" w:hAnsi="宋体" w:eastAsia="宋体" w:cs="宋体"/>
          <w:color w:val="auto"/>
          <w:sz w:val="24"/>
          <w:szCs w:val="24"/>
          <w:highlight w:val="none"/>
          <w:u w:val="none"/>
          <w:lang w:val="zh-CN"/>
        </w:rPr>
        <w:t>的</w:t>
      </w:r>
      <w:r>
        <w:rPr>
          <w:rFonts w:hint="eastAsia" w:ascii="宋体" w:hAnsi="宋体" w:eastAsia="宋体" w:cs="宋体"/>
          <w:color w:val="auto"/>
          <w:sz w:val="24"/>
          <w:szCs w:val="24"/>
          <w:highlight w:val="none"/>
          <w:u w:val="single"/>
          <w:lang w:val="en-US" w:eastAsia="zh-CN"/>
        </w:rPr>
        <w:t>5</w:t>
      </w:r>
      <w:r>
        <w:rPr>
          <w:rFonts w:ascii="宋体" w:hAnsi="宋体" w:eastAsia="宋体" w:cs="宋体"/>
          <w:b/>
          <w:bCs/>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pPr>
        <w:snapToGrid w:val="0"/>
        <w:spacing w:line="420" w:lineRule="exact"/>
        <w:ind w:firstLine="480" w:firstLineChars="200"/>
        <w:rPr>
          <w:rFonts w:ascii="宋体" w:hAnsi="宋体" w:eastAsia="宋体"/>
          <w:color w:val="auto"/>
          <w:sz w:val="24"/>
          <w:szCs w:val="24"/>
          <w:highlight w:val="none"/>
          <w:lang w:val="zh-CN"/>
        </w:rPr>
      </w:pPr>
      <w:r>
        <w:rPr>
          <w:rFonts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zh-CN"/>
        </w:rPr>
        <w:t>在《成交通知书》发出签收后</w:t>
      </w:r>
      <w:r>
        <w:rPr>
          <w:rFonts w:hint="eastAsia" w:ascii="宋体" w:hAnsi="宋体" w:eastAsia="宋体" w:cs="宋体"/>
          <w:b/>
          <w:bCs/>
          <w:color w:val="auto"/>
          <w:sz w:val="24"/>
          <w:szCs w:val="24"/>
          <w:highlight w:val="none"/>
          <w:u w:val="single"/>
          <w:lang w:val="en-US" w:eastAsia="zh-CN"/>
        </w:rPr>
        <w:t>2</w:t>
      </w:r>
      <w:r>
        <w:rPr>
          <w:rFonts w:hint="eastAsia" w:ascii="宋体" w:hAnsi="宋体" w:eastAsia="宋体" w:cs="宋体"/>
          <w:color w:val="auto"/>
          <w:sz w:val="24"/>
          <w:szCs w:val="24"/>
          <w:highlight w:val="none"/>
          <w:lang w:val="zh-CN"/>
        </w:rPr>
        <w:t>个日历天内，中标人凭《成交通知书》和履约保证金已经汇至采购人账上的凭证，与采购人签订合同，超期或未有协商，则视为自动放弃中标资格。</w:t>
      </w:r>
    </w:p>
    <w:p>
      <w:pPr>
        <w:snapToGrid w:val="0"/>
        <w:spacing w:line="420" w:lineRule="exact"/>
        <w:ind w:firstLine="480" w:firstLineChars="200"/>
        <w:rPr>
          <w:rFonts w:ascii="宋体" w:hAnsi="宋体" w:eastAsia="宋体"/>
          <w:color w:val="auto"/>
          <w:sz w:val="24"/>
          <w:szCs w:val="24"/>
          <w:highlight w:val="none"/>
          <w:lang w:val="zh-CN"/>
        </w:rPr>
      </w:pPr>
      <w:r>
        <w:rPr>
          <w:rFonts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lang w:val="zh-CN"/>
        </w:rPr>
        <w:t>中标人按要求保质保量的完成该项目且通过最终验收后，一次性无息退还履约保证金。</w:t>
      </w:r>
    </w:p>
    <w:p>
      <w:pPr>
        <w:snapToGrid w:val="0"/>
        <w:spacing w:line="420" w:lineRule="exact"/>
        <w:ind w:firstLine="480" w:firstLineChars="200"/>
        <w:rPr>
          <w:rFonts w:ascii="宋体" w:hAnsi="宋体" w:eastAsia="宋体"/>
          <w:color w:val="auto"/>
          <w:sz w:val="24"/>
          <w:szCs w:val="24"/>
          <w:highlight w:val="none"/>
          <w:lang w:val="zh-CN"/>
        </w:rPr>
      </w:pPr>
      <w:r>
        <w:rPr>
          <w:rFonts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lang w:val="zh-CN"/>
        </w:rPr>
        <w:t>因中标人原因在合同规定期限内无法交货</w:t>
      </w:r>
      <w:r>
        <w:rPr>
          <w:rFonts w:hint="eastAsia" w:ascii="宋体" w:hAnsi="宋体" w:eastAsia="宋体" w:cs="宋体"/>
          <w:color w:val="auto"/>
          <w:sz w:val="24"/>
          <w:szCs w:val="24"/>
          <w:highlight w:val="none"/>
          <w:lang w:val="en-US" w:eastAsia="zh-CN"/>
        </w:rPr>
        <w:t>或宣传片成果质量不合格的，以及出现其他不</w:t>
      </w:r>
      <w:r>
        <w:rPr>
          <w:rFonts w:hint="eastAsia" w:ascii="宋体" w:hAnsi="宋体" w:eastAsia="宋体" w:cs="宋体"/>
          <w:color w:val="auto"/>
          <w:sz w:val="24"/>
          <w:szCs w:val="24"/>
          <w:highlight w:val="none"/>
          <w:lang w:val="zh-CN"/>
        </w:rPr>
        <w:t>按合同履行的情况，采购人有权将履约保证金作为违约金，全额不予退还，同时采购人亦有权终止合同，中标人还须依法承担相应的赔偿责任。</w:t>
      </w:r>
    </w:p>
    <w:p>
      <w:pPr>
        <w:snapToGrid w:val="0"/>
        <w:spacing w:line="420" w:lineRule="exact"/>
        <w:ind w:firstLine="496" w:firstLineChars="206"/>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十三、服务量的调整及结算方式</w:t>
      </w:r>
    </w:p>
    <w:p>
      <w:pPr>
        <w:snapToGrid w:val="0"/>
        <w:spacing w:line="420" w:lineRule="exact"/>
        <w:ind w:firstLine="494" w:firstLineChars="206"/>
        <w:rPr>
          <w:rFonts w:ascii="宋体" w:hAnsi="宋体" w:eastAsia="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如因采购人实际需求，服务量发生变化，</w:t>
      </w:r>
      <w:r>
        <w:rPr>
          <w:rFonts w:hint="eastAsia" w:ascii="宋体" w:hAnsi="宋体" w:eastAsia="宋体" w:cs="宋体"/>
          <w:color w:val="auto"/>
          <w:sz w:val="24"/>
          <w:szCs w:val="24"/>
          <w:highlight w:val="none"/>
          <w:lang w:val="zh-CN"/>
        </w:rPr>
        <w:t>中标人</w:t>
      </w:r>
      <w:r>
        <w:rPr>
          <w:rFonts w:hint="eastAsia" w:ascii="宋体" w:hAnsi="宋体" w:eastAsia="宋体" w:cs="宋体"/>
          <w:color w:val="auto"/>
          <w:sz w:val="24"/>
          <w:szCs w:val="24"/>
          <w:highlight w:val="none"/>
        </w:rPr>
        <w:t>须无条件满足采购人需求，确保服务质量并及时提供服务。</w:t>
      </w:r>
    </w:p>
    <w:p>
      <w:pPr>
        <w:snapToGrid w:val="0"/>
        <w:spacing w:line="420" w:lineRule="exact"/>
        <w:ind w:firstLine="494" w:firstLineChars="206"/>
        <w:rPr>
          <w:rFonts w:ascii="宋体" w:hAnsi="宋体" w:eastAsia="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结算时按实际服务量进行结算，综合单价不变。若成交总价与项目首次磋商响应报价明细表中的综合单价不符，则按比例拆分到综合单价。</w:t>
      </w:r>
    </w:p>
    <w:p>
      <w:pPr>
        <w:snapToGrid w:val="0"/>
        <w:spacing w:line="420" w:lineRule="exact"/>
        <w:ind w:firstLine="496" w:firstLineChars="206"/>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十四、付款方式</w:t>
      </w:r>
    </w:p>
    <w:p>
      <w:pPr>
        <w:snapToGrid w:val="0"/>
        <w:spacing w:line="420" w:lineRule="exact"/>
        <w:ind w:firstLine="480" w:firstLineChars="200"/>
        <w:rPr>
          <w:rFonts w:ascii="宋体" w:hAnsi="宋体" w:eastAsia="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、付款方式不接受负偏离及任何意图改变付款方式的意图表达，否则作无效磋商处理。</w:t>
      </w:r>
    </w:p>
    <w:p>
      <w:pPr>
        <w:snapToGrid w:val="0"/>
        <w:spacing w:line="420" w:lineRule="exact"/>
        <w:ind w:firstLine="480" w:firstLineChars="200"/>
        <w:outlineLvl w:val="1"/>
        <w:rPr>
          <w:rFonts w:ascii="宋体" w:hAnsi="宋体" w:eastAsia="宋体"/>
          <w:color w:val="FF0000"/>
          <w:sz w:val="24"/>
          <w:szCs w:val="24"/>
          <w:highlight w:val="none"/>
          <w:lang w:val="zh-CN"/>
        </w:rPr>
      </w:pPr>
      <w:r>
        <w:rPr>
          <w:rFonts w:ascii="宋体" w:hAnsi="宋体" w:eastAsia="宋体" w:cs="宋体"/>
          <w:color w:val="FF0000"/>
          <w:sz w:val="24"/>
          <w:szCs w:val="24"/>
          <w:highlight w:val="none"/>
        </w:rPr>
        <w:t>2</w:t>
      </w:r>
      <w:r>
        <w:rPr>
          <w:rFonts w:hint="eastAsia" w:ascii="宋体" w:hAnsi="宋体" w:eastAsia="宋体" w:cs="宋体"/>
          <w:color w:val="FF0000"/>
          <w:sz w:val="24"/>
          <w:szCs w:val="24"/>
          <w:highlight w:val="none"/>
        </w:rPr>
        <w:t>、</w:t>
      </w:r>
      <w:r>
        <w:rPr>
          <w:rFonts w:hint="eastAsia" w:ascii="宋体" w:hAnsi="宋体" w:eastAsia="宋体" w:cs="宋体"/>
          <w:b/>
          <w:bCs/>
          <w:color w:val="FF0000"/>
          <w:sz w:val="24"/>
          <w:szCs w:val="24"/>
          <w:highlight w:val="none"/>
          <w:u w:val="single"/>
        </w:rPr>
        <w:t>双方合同签订后，</w:t>
      </w:r>
      <w:r>
        <w:rPr>
          <w:rFonts w:hint="eastAsia" w:ascii="宋体" w:hAnsi="宋体" w:eastAsia="宋体" w:cs="宋体"/>
          <w:b/>
          <w:bCs/>
          <w:color w:val="FF0000"/>
          <w:sz w:val="24"/>
          <w:szCs w:val="24"/>
          <w:highlight w:val="none"/>
          <w:u w:val="single"/>
          <w:lang w:val="en-US" w:eastAsia="zh-CN"/>
        </w:rPr>
        <w:t>乙方毛片交予甲方后，甲方支付合同价的30%，经采购人确定后，支付至合同价的50%，整个宣传片正片完成后，经采购人验收合格后余款一次性付清</w:t>
      </w:r>
      <w:r>
        <w:rPr>
          <w:rFonts w:hint="eastAsia" w:ascii="宋体" w:hAnsi="宋体" w:eastAsia="宋体" w:cs="宋体"/>
          <w:color w:val="FF0000"/>
          <w:sz w:val="24"/>
          <w:szCs w:val="24"/>
          <w:highlight w:val="none"/>
          <w:lang w:val="zh-CN"/>
        </w:rPr>
        <w:t>。</w:t>
      </w:r>
    </w:p>
    <w:p>
      <w:pPr>
        <w:snapToGrid w:val="0"/>
        <w:spacing w:line="420" w:lineRule="exact"/>
        <w:ind w:firstLine="482" w:firstLineChars="200"/>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十五、知识产权</w:t>
      </w:r>
    </w:p>
    <w:p>
      <w:pPr>
        <w:snapToGrid w:val="0"/>
        <w:spacing w:line="420" w:lineRule="exact"/>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rPr>
        <w:t>供应商必须保证所提供的服务涉及到的知识产权为合法取得，并享有完整的知识产权，不会因为采购人的使用而被责令停止使用、追偿或要求赔偿损失，如出现此情况，一切经济和法律责任均由供应商承担。</w:t>
      </w:r>
    </w:p>
    <w:p>
      <w:pPr>
        <w:snapToGrid w:val="0"/>
        <w:spacing w:line="420" w:lineRule="exact"/>
        <w:ind w:firstLine="482" w:firstLineChars="200"/>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十六、未尽事宜</w:t>
      </w:r>
    </w:p>
    <w:p>
      <w:pPr>
        <w:snapToGrid w:val="0"/>
        <w:spacing w:line="420" w:lineRule="exact"/>
        <w:ind w:firstLine="494" w:firstLineChars="206"/>
        <w:rPr>
          <w:rFonts w:ascii="宋体" w:hAnsi="宋体" w:eastAsia="宋体"/>
          <w:color w:val="auto"/>
          <w:sz w:val="24"/>
          <w:szCs w:val="24"/>
          <w:highlight w:val="none"/>
        </w:rPr>
      </w:pPr>
      <w:r>
        <w:rPr>
          <w:rFonts w:hint="eastAsia" w:ascii="宋体" w:hAnsi="宋体" w:eastAsia="宋体" w:cs="宋体"/>
          <w:color w:val="auto"/>
          <w:sz w:val="24"/>
          <w:szCs w:val="24"/>
          <w:highlight w:val="none"/>
        </w:rPr>
        <w:t>按《中华人民共和国政府采购法》及《政府采购竞争性磋商采购方式管理暂行办法》与其他有关法律法规的规定执行。</w:t>
      </w:r>
    </w:p>
    <w:p>
      <w:pPr>
        <w:pStyle w:val="48"/>
        <w:spacing w:before="120"/>
        <w:ind w:firstLineChars="175"/>
        <w:rPr>
          <w:rFonts w:cs="Times New Roman"/>
          <w:color w:val="auto"/>
          <w:highlight w:val="none"/>
        </w:rPr>
      </w:pPr>
    </w:p>
    <w:p>
      <w:pPr>
        <w:pStyle w:val="48"/>
        <w:spacing w:before="120"/>
        <w:ind w:firstLineChars="175"/>
        <w:rPr>
          <w:rFonts w:cs="Times New Roman"/>
          <w:color w:val="auto"/>
          <w:highlight w:val="none"/>
        </w:rPr>
      </w:pPr>
    </w:p>
    <w:p>
      <w:pPr>
        <w:pStyle w:val="48"/>
        <w:spacing w:before="120"/>
        <w:ind w:firstLineChars="175"/>
        <w:rPr>
          <w:rFonts w:cs="Times New Roman"/>
          <w:color w:val="auto"/>
          <w:highlight w:val="none"/>
        </w:rPr>
      </w:pPr>
    </w:p>
    <w:p>
      <w:pPr>
        <w:pStyle w:val="48"/>
        <w:spacing w:before="120"/>
        <w:ind w:firstLineChars="175"/>
        <w:rPr>
          <w:rFonts w:cs="Times New Roman"/>
          <w:color w:val="auto"/>
          <w:highlight w:val="none"/>
        </w:rPr>
      </w:pPr>
    </w:p>
    <w:p>
      <w:pPr>
        <w:pStyle w:val="48"/>
        <w:spacing w:before="120"/>
        <w:ind w:firstLineChars="175"/>
        <w:rPr>
          <w:rFonts w:cs="Times New Roman"/>
          <w:color w:val="auto"/>
          <w:highlight w:val="none"/>
        </w:rPr>
      </w:pPr>
    </w:p>
    <w:p>
      <w:pPr>
        <w:pStyle w:val="48"/>
        <w:spacing w:before="120"/>
        <w:ind w:firstLineChars="175"/>
        <w:rPr>
          <w:rFonts w:cs="Times New Roman"/>
          <w:color w:val="auto"/>
          <w:highlight w:val="none"/>
        </w:rPr>
      </w:pPr>
    </w:p>
    <w:p>
      <w:pPr>
        <w:pStyle w:val="48"/>
        <w:spacing w:before="120"/>
        <w:ind w:firstLineChars="175"/>
        <w:rPr>
          <w:rFonts w:cs="Times New Roman"/>
          <w:color w:val="auto"/>
          <w:highlight w:val="none"/>
        </w:rPr>
      </w:pPr>
    </w:p>
    <w:p>
      <w:pPr>
        <w:pStyle w:val="48"/>
        <w:spacing w:before="120"/>
        <w:ind w:firstLineChars="175"/>
        <w:rPr>
          <w:rFonts w:cs="Times New Roman"/>
          <w:color w:val="auto"/>
          <w:highlight w:val="none"/>
        </w:rPr>
      </w:pPr>
    </w:p>
    <w:p>
      <w:pPr>
        <w:pStyle w:val="48"/>
        <w:spacing w:before="120"/>
        <w:ind w:firstLine="0" w:firstLineChars="0"/>
        <w:jc w:val="both"/>
        <w:rPr>
          <w:rFonts w:hint="eastAsia" w:ascii="宋体" w:hAnsi="宋体" w:eastAsia="宋体" w:cs="宋体"/>
          <w:b/>
          <w:bCs/>
          <w:color w:val="auto"/>
          <w:w w:val="80"/>
          <w:sz w:val="36"/>
          <w:szCs w:val="36"/>
          <w:highlight w:val="none"/>
        </w:rPr>
      </w:pPr>
    </w:p>
    <w:p>
      <w:pPr>
        <w:pStyle w:val="48"/>
        <w:spacing w:before="120"/>
        <w:ind w:firstLine="0" w:firstLineChars="0"/>
        <w:jc w:val="both"/>
        <w:rPr>
          <w:rFonts w:hint="eastAsia" w:ascii="宋体" w:hAnsi="宋体" w:eastAsia="宋体" w:cs="宋体"/>
          <w:b/>
          <w:bCs/>
          <w:color w:val="auto"/>
          <w:w w:val="80"/>
          <w:sz w:val="36"/>
          <w:szCs w:val="36"/>
          <w:highlight w:val="none"/>
        </w:rPr>
      </w:pPr>
    </w:p>
    <w:p>
      <w:pPr>
        <w:pStyle w:val="48"/>
        <w:spacing w:before="120"/>
        <w:ind w:firstLine="0" w:firstLineChars="0"/>
        <w:jc w:val="both"/>
        <w:rPr>
          <w:rFonts w:hint="eastAsia" w:ascii="宋体" w:hAnsi="宋体" w:eastAsia="宋体" w:cs="宋体"/>
          <w:b/>
          <w:bCs/>
          <w:color w:val="auto"/>
          <w:w w:val="80"/>
          <w:sz w:val="36"/>
          <w:szCs w:val="36"/>
          <w:highlight w:val="none"/>
        </w:rPr>
      </w:pPr>
    </w:p>
    <w:p>
      <w:pPr>
        <w:pStyle w:val="48"/>
        <w:spacing w:before="120"/>
        <w:ind w:firstLine="0" w:firstLineChars="0"/>
        <w:jc w:val="both"/>
        <w:rPr>
          <w:rFonts w:hint="eastAsia" w:ascii="宋体" w:hAnsi="宋体" w:eastAsia="宋体" w:cs="宋体"/>
          <w:b/>
          <w:bCs/>
          <w:color w:val="auto"/>
          <w:w w:val="80"/>
          <w:sz w:val="36"/>
          <w:szCs w:val="36"/>
          <w:highlight w:val="none"/>
        </w:rPr>
      </w:pPr>
    </w:p>
    <w:p>
      <w:pPr>
        <w:pStyle w:val="48"/>
        <w:spacing w:before="120"/>
        <w:ind w:firstLine="0" w:firstLineChars="0"/>
        <w:jc w:val="both"/>
        <w:rPr>
          <w:rFonts w:hint="eastAsia" w:ascii="宋体" w:hAnsi="宋体" w:eastAsia="宋体" w:cs="宋体"/>
          <w:b/>
          <w:bCs/>
          <w:color w:val="auto"/>
          <w:w w:val="80"/>
          <w:sz w:val="36"/>
          <w:szCs w:val="36"/>
          <w:highlight w:val="none"/>
        </w:rPr>
      </w:pPr>
    </w:p>
    <w:p>
      <w:pPr>
        <w:pStyle w:val="48"/>
        <w:spacing w:before="120"/>
        <w:ind w:firstLine="0" w:firstLineChars="0"/>
        <w:jc w:val="both"/>
        <w:rPr>
          <w:rFonts w:hint="eastAsia" w:ascii="宋体" w:hAnsi="宋体" w:eastAsia="宋体" w:cs="宋体"/>
          <w:b/>
          <w:bCs/>
          <w:color w:val="auto"/>
          <w:w w:val="80"/>
          <w:sz w:val="36"/>
          <w:szCs w:val="36"/>
          <w:highlight w:val="none"/>
        </w:rPr>
      </w:pPr>
    </w:p>
    <w:p>
      <w:pPr>
        <w:pStyle w:val="48"/>
        <w:spacing w:before="120"/>
        <w:ind w:firstLine="0" w:firstLineChars="0"/>
        <w:jc w:val="both"/>
        <w:rPr>
          <w:rFonts w:hint="eastAsia" w:ascii="宋体" w:hAnsi="宋体" w:eastAsia="宋体" w:cs="宋体"/>
          <w:b/>
          <w:bCs/>
          <w:color w:val="auto"/>
          <w:w w:val="80"/>
          <w:sz w:val="36"/>
          <w:szCs w:val="36"/>
          <w:highlight w:val="none"/>
        </w:rPr>
      </w:pPr>
    </w:p>
    <w:p>
      <w:pPr>
        <w:pStyle w:val="48"/>
        <w:spacing w:before="120"/>
        <w:ind w:firstLine="0" w:firstLineChars="0"/>
        <w:jc w:val="both"/>
        <w:rPr>
          <w:rFonts w:hint="eastAsia" w:ascii="宋体" w:hAnsi="宋体" w:eastAsia="宋体" w:cs="宋体"/>
          <w:b/>
          <w:bCs/>
          <w:color w:val="auto"/>
          <w:w w:val="80"/>
          <w:sz w:val="36"/>
          <w:szCs w:val="36"/>
          <w:highlight w:val="none"/>
        </w:rPr>
      </w:pPr>
    </w:p>
    <w:p>
      <w:pPr>
        <w:pStyle w:val="48"/>
        <w:spacing w:before="120"/>
        <w:ind w:firstLine="0" w:firstLineChars="0"/>
        <w:jc w:val="center"/>
        <w:rPr>
          <w:rFonts w:ascii="宋体" w:hAnsi="宋体" w:eastAsia="宋体" w:cs="Times New Roman"/>
          <w:b/>
          <w:bCs/>
          <w:color w:val="auto"/>
          <w:w w:val="80"/>
          <w:sz w:val="36"/>
          <w:szCs w:val="36"/>
          <w:highlight w:val="none"/>
        </w:rPr>
      </w:pPr>
      <w:r>
        <w:rPr>
          <w:rFonts w:hint="eastAsia" w:ascii="宋体" w:hAnsi="宋体" w:eastAsia="宋体" w:cs="宋体"/>
          <w:b/>
          <w:bCs/>
          <w:color w:val="auto"/>
          <w:w w:val="80"/>
          <w:sz w:val="36"/>
          <w:szCs w:val="36"/>
          <w:highlight w:val="none"/>
        </w:rPr>
        <w:t>第三章</w:t>
      </w:r>
      <w:r>
        <w:rPr>
          <w:rFonts w:hint="eastAsia" w:ascii="宋体" w:hAnsi="宋体" w:eastAsia="宋体" w:cs="宋体"/>
          <w:b/>
          <w:bCs/>
          <w:color w:val="auto"/>
          <w:w w:val="80"/>
          <w:sz w:val="36"/>
          <w:szCs w:val="36"/>
          <w:highlight w:val="none"/>
          <w:lang w:val="en-US" w:eastAsia="zh-CN"/>
        </w:rPr>
        <w:t xml:space="preserve">    </w:t>
      </w:r>
      <w:r>
        <w:rPr>
          <w:rFonts w:hint="eastAsia" w:ascii="宋体" w:hAnsi="宋体" w:eastAsia="宋体" w:cs="宋体"/>
          <w:b/>
          <w:bCs/>
          <w:color w:val="auto"/>
          <w:w w:val="80"/>
          <w:sz w:val="36"/>
          <w:szCs w:val="36"/>
          <w:highlight w:val="none"/>
        </w:rPr>
        <w:t>项目需求</w:t>
      </w:r>
    </w:p>
    <w:p>
      <w:pPr>
        <w:keepNext w:val="0"/>
        <w:keepLines w:val="0"/>
        <w:pageBreakBefore w:val="0"/>
        <w:widowControl w:val="0"/>
        <w:kinsoku/>
        <w:wordWrap/>
        <w:overflowPunct/>
        <w:topLinePunct w:val="0"/>
        <w:autoSpaceDE/>
        <w:autoSpaceDN/>
        <w:bidi w:val="0"/>
        <w:adjustRightInd/>
        <w:snapToGrid w:val="0"/>
        <w:spacing w:line="480" w:lineRule="exact"/>
        <w:ind w:firstLine="741" w:firstLineChars="206"/>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bookmarkStart w:id="6" w:name="_Toc13543213"/>
      <w:r>
        <w:rPr>
          <w:rFonts w:hint="eastAsia" w:ascii="方正小标宋简体" w:hAnsi="方正小标宋简体" w:eastAsia="方正小标宋简体" w:cs="方正小标宋简体"/>
          <w:b w:val="0"/>
          <w:bCs w:val="0"/>
          <w:sz w:val="36"/>
          <w:szCs w:val="36"/>
          <w:highlight w:val="none"/>
          <w:lang w:val="en-US" w:eastAsia="zh-CN"/>
        </w:rPr>
        <w:t>视频拍摄和制作要求</w:t>
      </w:r>
    </w:p>
    <w:p>
      <w:pPr>
        <w:pStyle w:val="4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一、主题定位</w:t>
      </w:r>
    </w:p>
    <w:p>
      <w:pPr>
        <w:pStyle w:val="4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通过此片的拍摄、制作及展示，增强干部退休的政治荣誉感、组织归属感、退休仪式感，引导他们永葆政治本色，继续发挥余热，为党的事业增添正能量。</w:t>
      </w:r>
    </w:p>
    <w:p>
      <w:pPr>
        <w:pStyle w:val="4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二、片长设置</w:t>
      </w:r>
    </w:p>
    <w:p>
      <w:pPr>
        <w:pStyle w:val="4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高光时刻（5分钟）+退休感言（3分钟）</w:t>
      </w:r>
    </w:p>
    <w:p>
      <w:pPr>
        <w:pStyle w:val="4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三、视频拍摄制作要求</w:t>
      </w:r>
    </w:p>
    <w:p>
      <w:pPr>
        <w:pStyle w:val="4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1.供应商须完成摄制的创意文案，策划书要主题鲜明、构思新颖，凸显历史的厚重感，具有较强的感染力，并与采购方协商确认。</w:t>
      </w:r>
    </w:p>
    <w:p>
      <w:pPr>
        <w:pStyle w:val="4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视频脚本由供应商撰写。高光时刻通过回顾市管退休干部的感动瞬间，艺术性地呈现在市委市政府领导下，新时代南通的高质量发展之路，致敬忠诚履职、担当作为的人民公仆。退休感言撷取采访中的精彩片段，以温暖朴素的艺术表现形式，展示市管干部初心不改、使命不怠的精神风貌。撰稿人须具有很强的文学创作能力和采访沟通能力，与市级相关部门有合作经验。</w:t>
      </w:r>
    </w:p>
    <w:p>
      <w:pPr>
        <w:pStyle w:val="4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3.供应商须具备策划、拍摄、设计、编剧、撰稿、配乐、灯光、后期制作等专业人才，分工明确，责任到人。</w:t>
      </w:r>
    </w:p>
    <w:p>
      <w:pPr>
        <w:pStyle w:val="4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根据主题需要，综合运用实拍、历史素材剪辑、二三维动画制作、特效合成等手段表现，后期画面剪辑使用高清系统工作站、达芬奇调色（或同品质）系统等设备进行后期制作，确保画面流畅、大气、唯美、有冲击力。所用素材须不存在版权纠纷,著作权与使用权归采购人。</w:t>
      </w:r>
    </w:p>
    <w:p>
      <w:pPr>
        <w:pStyle w:val="4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5.合同签订一个月内完成拍摄，6月8日出毛片，6月15日出样片，6月22日前成片。</w:t>
      </w:r>
    </w:p>
    <w:p>
      <w:pPr>
        <w:pStyle w:val="4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四、其他</w:t>
      </w:r>
    </w:p>
    <w:p>
      <w:pPr>
        <w:pStyle w:val="4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整体作品经采购人验收合格后，支付服务费。付款前成交供应商需提供等额正规发票。</w:t>
      </w:r>
    </w:p>
    <w:p>
      <w:pPr>
        <w:pStyle w:val="4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p>
    <w:p>
      <w:pPr>
        <w:tabs>
          <w:tab w:val="left" w:pos="1050"/>
          <w:tab w:val="right" w:leader="dot" w:pos="9402"/>
        </w:tabs>
        <w:spacing w:beforeLines="100" w:line="600" w:lineRule="exact"/>
        <w:jc w:val="both"/>
        <w:outlineLvl w:val="0"/>
        <w:rPr>
          <w:rFonts w:hint="eastAsia" w:ascii="宋体" w:hAnsi="宋体" w:eastAsia="宋体" w:cs="宋体"/>
          <w:b/>
          <w:bCs/>
          <w:color w:val="auto"/>
          <w:w w:val="80"/>
          <w:sz w:val="36"/>
          <w:szCs w:val="36"/>
          <w:highlight w:val="none"/>
        </w:rPr>
      </w:pPr>
    </w:p>
    <w:p>
      <w:pPr>
        <w:pStyle w:val="48"/>
        <w:rPr>
          <w:rFonts w:hint="eastAsia"/>
          <w:color w:val="auto"/>
          <w:highlight w:val="none"/>
        </w:rPr>
      </w:pPr>
    </w:p>
    <w:p>
      <w:pPr>
        <w:tabs>
          <w:tab w:val="left" w:pos="1050"/>
          <w:tab w:val="right" w:leader="dot" w:pos="9402"/>
        </w:tabs>
        <w:spacing w:beforeLines="100" w:line="600" w:lineRule="exact"/>
        <w:jc w:val="center"/>
        <w:outlineLvl w:val="0"/>
        <w:rPr>
          <w:rFonts w:hint="eastAsia" w:ascii="宋体" w:hAnsi="宋体" w:eastAsia="宋体" w:cs="宋体"/>
          <w:b/>
          <w:bCs/>
          <w:color w:val="auto"/>
          <w:w w:val="80"/>
          <w:sz w:val="36"/>
          <w:szCs w:val="36"/>
          <w:highlight w:val="none"/>
        </w:rPr>
      </w:pPr>
    </w:p>
    <w:p>
      <w:pPr>
        <w:tabs>
          <w:tab w:val="left" w:pos="1050"/>
          <w:tab w:val="right" w:leader="dot" w:pos="9402"/>
        </w:tabs>
        <w:spacing w:beforeLines="100" w:line="600" w:lineRule="exact"/>
        <w:jc w:val="center"/>
        <w:outlineLvl w:val="0"/>
        <w:rPr>
          <w:rFonts w:hint="eastAsia" w:ascii="宋体" w:hAnsi="宋体" w:eastAsia="宋体" w:cs="宋体"/>
          <w:b/>
          <w:bCs/>
          <w:color w:val="auto"/>
          <w:w w:val="80"/>
          <w:sz w:val="36"/>
          <w:szCs w:val="36"/>
          <w:highlight w:val="none"/>
        </w:rPr>
      </w:pPr>
    </w:p>
    <w:p>
      <w:pPr>
        <w:tabs>
          <w:tab w:val="left" w:pos="1050"/>
          <w:tab w:val="right" w:leader="dot" w:pos="9402"/>
        </w:tabs>
        <w:spacing w:beforeLines="100" w:line="600" w:lineRule="exact"/>
        <w:jc w:val="center"/>
        <w:outlineLvl w:val="0"/>
        <w:rPr>
          <w:rFonts w:hint="eastAsia" w:ascii="宋体" w:hAnsi="宋体" w:eastAsia="宋体" w:cs="宋体"/>
          <w:b/>
          <w:bCs/>
          <w:color w:val="auto"/>
          <w:w w:val="80"/>
          <w:sz w:val="36"/>
          <w:szCs w:val="36"/>
          <w:highlight w:val="none"/>
        </w:rPr>
      </w:pPr>
    </w:p>
    <w:p>
      <w:pPr>
        <w:tabs>
          <w:tab w:val="left" w:pos="1050"/>
          <w:tab w:val="right" w:leader="dot" w:pos="9402"/>
        </w:tabs>
        <w:spacing w:beforeLines="100" w:line="600" w:lineRule="exact"/>
        <w:jc w:val="center"/>
        <w:outlineLvl w:val="0"/>
        <w:rPr>
          <w:rFonts w:ascii="宋体" w:hAnsi="宋体" w:eastAsia="宋体"/>
          <w:b/>
          <w:bCs/>
          <w:color w:val="auto"/>
          <w:w w:val="80"/>
          <w:sz w:val="36"/>
          <w:szCs w:val="36"/>
          <w:highlight w:val="none"/>
        </w:rPr>
      </w:pPr>
      <w:r>
        <w:rPr>
          <w:rFonts w:hint="eastAsia" w:ascii="宋体" w:hAnsi="宋体" w:eastAsia="宋体" w:cs="宋体"/>
          <w:b/>
          <w:bCs/>
          <w:color w:val="auto"/>
          <w:w w:val="80"/>
          <w:sz w:val="36"/>
          <w:szCs w:val="36"/>
          <w:highlight w:val="none"/>
        </w:rPr>
        <w:t>第四章</w:t>
      </w:r>
      <w:r>
        <w:rPr>
          <w:rFonts w:ascii="宋体" w:hAnsi="宋体" w:eastAsia="宋体" w:cs="宋体"/>
          <w:b/>
          <w:bCs/>
          <w:color w:val="auto"/>
          <w:w w:val="80"/>
          <w:sz w:val="36"/>
          <w:szCs w:val="36"/>
          <w:highlight w:val="none"/>
        </w:rPr>
        <w:t xml:space="preserve">  </w:t>
      </w:r>
      <w:bookmarkStart w:id="7" w:name="_Toc182848996"/>
      <w:r>
        <w:rPr>
          <w:rFonts w:hint="eastAsia" w:ascii="宋体" w:hAnsi="宋体" w:eastAsia="宋体" w:cs="宋体"/>
          <w:b/>
          <w:bCs/>
          <w:color w:val="auto"/>
          <w:w w:val="80"/>
          <w:sz w:val="36"/>
          <w:szCs w:val="36"/>
          <w:highlight w:val="none"/>
        </w:rPr>
        <w:t>评审程序和方法</w:t>
      </w:r>
    </w:p>
    <w:p>
      <w:pPr>
        <w:snapToGrid w:val="0"/>
        <w:spacing w:line="420" w:lineRule="exact"/>
        <w:ind w:firstLine="482" w:firstLineChars="200"/>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一、采购人委托采购代理机构组织磋商</w:t>
      </w:r>
    </w:p>
    <w:p>
      <w:pPr>
        <w:adjustRightInd w:val="0"/>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本次竞争性磋商依据《中华人民共和国政府采购法》、《政府采购竞争性磋商采购方式管理暂行办法》及相关法规，依法成立“磋商”小组。磋商小组由采购人代表和评审专家共计</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人及以上单数组成，其中评审专家人数不得少于“磋商”小组成员总数的</w:t>
      </w:r>
      <w:r>
        <w:rPr>
          <w:rFonts w:ascii="宋体" w:hAnsi="宋体" w:eastAsia="宋体" w:cs="宋体"/>
          <w:color w:val="auto"/>
          <w:sz w:val="24"/>
          <w:szCs w:val="24"/>
          <w:highlight w:val="none"/>
        </w:rPr>
        <w:t>2/3</w:t>
      </w:r>
      <w:r>
        <w:rPr>
          <w:rFonts w:hint="eastAsia" w:ascii="宋体" w:hAnsi="宋体" w:eastAsia="宋体" w:cs="宋体"/>
          <w:color w:val="auto"/>
          <w:sz w:val="24"/>
          <w:szCs w:val="24"/>
          <w:highlight w:val="none"/>
        </w:rPr>
        <w:t>。</w:t>
      </w:r>
    </w:p>
    <w:p>
      <w:pPr>
        <w:adjustRightInd w:val="0"/>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采用竞争性磋商方式的政府采购项目，评审专家应当从政府采购评审专家库内相关专业的专家名单中随机抽取。情况特殊、通过随机方式难以确定合适的评审专家的，经主管预算单位同意，可以自行选定或推荐评审专家。</w:t>
      </w:r>
    </w:p>
    <w:p>
      <w:pPr>
        <w:snapToGrid w:val="0"/>
        <w:spacing w:line="420" w:lineRule="exact"/>
        <w:ind w:firstLine="480" w:firstLineChars="200"/>
        <w:outlineLvl w:val="1"/>
        <w:rPr>
          <w:rFonts w:ascii="宋体" w:hAnsi="宋体" w:eastAsia="宋体"/>
          <w:color w:val="auto"/>
          <w:sz w:val="24"/>
          <w:szCs w:val="24"/>
          <w:highlight w:val="none"/>
        </w:rPr>
      </w:pPr>
      <w:r>
        <w:rPr>
          <w:rFonts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rPr>
        <w:t>磋商供应商的法定代表人或被委托受权人须持身份证准时参加磋商采购会。</w:t>
      </w:r>
    </w:p>
    <w:p>
      <w:pPr>
        <w:snapToGrid w:val="0"/>
        <w:spacing w:line="420" w:lineRule="exact"/>
        <w:ind w:firstLine="482" w:firstLineChars="200"/>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二、竞争性磋商评审程序</w:t>
      </w:r>
    </w:p>
    <w:p>
      <w:pPr>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开标后，采购人依法根据竞争性磋商文件的规定和要求，对磋商响应供应商提供的资格证明材料是否齐全、是否符合竞争性磋商文件规定的资格要求进行审查，合格的进入评标磋商评审。</w:t>
      </w:r>
    </w:p>
    <w:p>
      <w:pPr>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磋商小组对符合资格条件的磋商响应供应商提交的磋商响应文件进行审查。重点审查磋商响应文件的有效性、完整性和实质性响应程度等。</w:t>
      </w:r>
    </w:p>
    <w:p>
      <w:pPr>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磋商小组如遇磋商响应文件中含义不明确、同类问题表述不一致或者有明显文字和计算错误的内容，可向磋商响应供应商质询。磋商响应供应商的澄清、说明或者补正，应当采用书面形式由磋商响应供应商代表签字，但不得超出竞争性磋商文件的范围或者改变其实质性内容。</w:t>
      </w:r>
    </w:p>
    <w:p>
      <w:pPr>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磋商过程中的任何一方不得透露与评标有关的其他磋商响应供应商技术资料、报价和有关信息。竞争性磋商文件有实质性变动的，磋商小组应以书面形式通知所有磋商响应供应商。</w:t>
      </w:r>
    </w:p>
    <w:p>
      <w:pPr>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磋商小组按竞争性磋商文件规定的评标方法和标准，对合格的磋商响应供应商的技术标响应文件进行评审评估，确定其是否进入“磋商”环节。</w:t>
      </w:r>
    </w:p>
    <w:p>
      <w:pPr>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6.</w:t>
      </w:r>
      <w:r>
        <w:rPr>
          <w:rFonts w:hint="eastAsia" w:ascii="宋体" w:hAnsi="宋体" w:eastAsia="宋体" w:cs="宋体"/>
          <w:color w:val="auto"/>
          <w:sz w:val="24"/>
          <w:szCs w:val="24"/>
          <w:highlight w:val="none"/>
        </w:rPr>
        <w:t>磋商小组对进入“磋商”环节的磋商响应供应商提供的“技术标”文件综合比较与评价后，技术方案确定满足磋商文件技术要求的供应商列为最终评审报价供应商并进入最终评审。否则，磋商小组评委成员须结合其首次磋商响应报价，集体与磋商响应供应商进行磋商，并经磋商确定最终采购需求和进入最后报价的磋商响应供应商。</w:t>
      </w:r>
    </w:p>
    <w:p>
      <w:pPr>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7.</w:t>
      </w:r>
      <w:r>
        <w:rPr>
          <w:rFonts w:hint="eastAsia" w:ascii="宋体" w:hAnsi="宋体" w:eastAsia="宋体" w:cs="宋体"/>
          <w:color w:val="auto"/>
          <w:sz w:val="24"/>
          <w:szCs w:val="24"/>
          <w:highlight w:val="none"/>
        </w:rPr>
        <w:t>磋商小组评委成员独立对每个入围最终评审的磋商响应供应商提供的磋商响应文件，按竞争性磋商文件载明的方法进行评审打分，确定其技术标得分。</w:t>
      </w:r>
    </w:p>
    <w:p>
      <w:pPr>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8.</w:t>
      </w:r>
      <w:r>
        <w:rPr>
          <w:rFonts w:hint="eastAsia" w:ascii="宋体" w:hAnsi="宋体" w:eastAsia="宋体" w:cs="宋体"/>
          <w:color w:val="auto"/>
          <w:sz w:val="24"/>
          <w:szCs w:val="24"/>
          <w:highlight w:val="none"/>
        </w:rPr>
        <w:t>磋商小组根据入围最终评审的磋商响应供应商的报价</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如磋商，才有现场二次报价（最终）</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价格，直接计算取得其价格标得分，并与其技术标得分相加为该磋商响应供应商的综合得分。磋商响应供应商的综合得分由高到低按序排列，综合得分最高的推荐为本次招标项目的成交人，并将结果通知所有磋商响应供应商。</w:t>
      </w:r>
    </w:p>
    <w:p>
      <w:pPr>
        <w:snapToGrid w:val="0"/>
        <w:spacing w:line="420" w:lineRule="exact"/>
        <w:ind w:firstLine="482" w:firstLineChars="200"/>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三、开标</w:t>
      </w:r>
    </w:p>
    <w:p>
      <w:pPr>
        <w:adjustRightInd w:val="0"/>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开标时间：</w:t>
      </w:r>
      <w:r>
        <w:rPr>
          <w:rFonts w:ascii="宋体" w:hAnsi="宋体" w:eastAsia="宋体" w:cs="宋体"/>
          <w:b/>
          <w:bCs/>
          <w:color w:val="auto"/>
          <w:sz w:val="24"/>
          <w:szCs w:val="24"/>
          <w:highlight w:val="none"/>
          <w:u w:val="thick" w:color="FF0000"/>
        </w:rPr>
        <w:t>202</w:t>
      </w:r>
      <w:r>
        <w:rPr>
          <w:rFonts w:hint="eastAsia" w:ascii="宋体" w:hAnsi="宋体" w:eastAsia="宋体" w:cs="宋体"/>
          <w:b/>
          <w:bCs/>
          <w:color w:val="auto"/>
          <w:sz w:val="24"/>
          <w:szCs w:val="24"/>
          <w:highlight w:val="none"/>
          <w:u w:val="thick" w:color="FF0000"/>
          <w:lang w:val="en-US" w:eastAsia="zh-CN"/>
        </w:rPr>
        <w:t>2</w:t>
      </w:r>
      <w:r>
        <w:rPr>
          <w:rFonts w:hint="eastAsia" w:ascii="宋体" w:hAnsi="宋体" w:eastAsia="宋体" w:cs="宋体"/>
          <w:b/>
          <w:bCs/>
          <w:color w:val="auto"/>
          <w:sz w:val="24"/>
          <w:szCs w:val="24"/>
          <w:highlight w:val="none"/>
          <w:u w:val="thick" w:color="FF0000"/>
        </w:rPr>
        <w:t>年</w:t>
      </w:r>
      <w:r>
        <w:rPr>
          <w:rFonts w:hint="eastAsia" w:ascii="宋体" w:hAnsi="宋体" w:eastAsia="宋体" w:cs="宋体"/>
          <w:b/>
          <w:bCs/>
          <w:color w:val="auto"/>
          <w:sz w:val="24"/>
          <w:szCs w:val="24"/>
          <w:highlight w:val="none"/>
          <w:u w:val="thick" w:color="FF0000"/>
          <w:lang w:val="en-US" w:eastAsia="zh-CN"/>
        </w:rPr>
        <w:t>5</w:t>
      </w:r>
      <w:r>
        <w:rPr>
          <w:rFonts w:hint="eastAsia" w:ascii="宋体" w:hAnsi="宋体" w:eastAsia="宋体" w:cs="宋体"/>
          <w:b/>
          <w:bCs/>
          <w:color w:val="auto"/>
          <w:sz w:val="24"/>
          <w:szCs w:val="24"/>
          <w:highlight w:val="none"/>
          <w:u w:val="thick" w:color="FF0000"/>
        </w:rPr>
        <w:t>月</w:t>
      </w:r>
      <w:r>
        <w:rPr>
          <w:rFonts w:hint="eastAsia" w:ascii="宋体" w:hAnsi="宋体" w:eastAsia="宋体" w:cs="宋体"/>
          <w:b/>
          <w:bCs/>
          <w:color w:val="auto"/>
          <w:sz w:val="24"/>
          <w:szCs w:val="24"/>
          <w:highlight w:val="none"/>
          <w:u w:val="thick" w:color="FF0000"/>
          <w:lang w:val="en-US" w:eastAsia="zh-CN"/>
        </w:rPr>
        <w:t>20</w:t>
      </w:r>
      <w:r>
        <w:rPr>
          <w:rFonts w:hint="eastAsia" w:ascii="宋体" w:hAnsi="宋体" w:eastAsia="宋体" w:cs="宋体"/>
          <w:b/>
          <w:bCs/>
          <w:color w:val="auto"/>
          <w:sz w:val="24"/>
          <w:szCs w:val="24"/>
          <w:highlight w:val="none"/>
          <w:u w:val="thick" w:color="FF0000"/>
        </w:rPr>
        <w:t>日</w:t>
      </w:r>
      <w:r>
        <w:rPr>
          <w:rFonts w:hint="eastAsia" w:ascii="宋体" w:hAnsi="宋体" w:eastAsia="宋体" w:cs="宋体"/>
          <w:b/>
          <w:bCs/>
          <w:color w:val="auto"/>
          <w:sz w:val="24"/>
          <w:szCs w:val="24"/>
          <w:highlight w:val="none"/>
          <w:u w:val="thick" w:color="FF0000"/>
          <w:lang w:eastAsia="zh-CN"/>
        </w:rPr>
        <w:t>上</w:t>
      </w:r>
      <w:r>
        <w:rPr>
          <w:rFonts w:hint="eastAsia" w:ascii="宋体" w:hAnsi="宋体" w:eastAsia="宋体" w:cs="宋体"/>
          <w:b/>
          <w:bCs/>
          <w:color w:val="auto"/>
          <w:sz w:val="24"/>
          <w:szCs w:val="24"/>
          <w:highlight w:val="none"/>
          <w:u w:val="thick" w:color="FF0000"/>
        </w:rPr>
        <w:t>午</w:t>
      </w:r>
      <w:r>
        <w:rPr>
          <w:rFonts w:hint="eastAsia" w:ascii="宋体" w:hAnsi="宋体" w:eastAsia="宋体" w:cs="宋体"/>
          <w:b/>
          <w:bCs/>
          <w:color w:val="auto"/>
          <w:sz w:val="24"/>
          <w:szCs w:val="24"/>
          <w:highlight w:val="none"/>
          <w:u w:val="thick" w:color="FF0000"/>
          <w:lang w:val="en-US" w:eastAsia="zh-CN"/>
        </w:rPr>
        <w:t xml:space="preserve">09 </w:t>
      </w:r>
      <w:r>
        <w:rPr>
          <w:rFonts w:hint="eastAsia" w:ascii="宋体" w:hAnsi="宋体" w:eastAsia="宋体" w:cs="宋体"/>
          <w:b/>
          <w:bCs/>
          <w:color w:val="auto"/>
          <w:sz w:val="24"/>
          <w:szCs w:val="24"/>
          <w:highlight w:val="none"/>
          <w:u w:val="thick" w:color="FF0000"/>
        </w:rPr>
        <w:t>时</w:t>
      </w:r>
      <w:r>
        <w:rPr>
          <w:rFonts w:hint="eastAsia" w:ascii="宋体" w:hAnsi="宋体" w:eastAsia="宋体" w:cs="宋体"/>
          <w:b/>
          <w:bCs/>
          <w:color w:val="auto"/>
          <w:sz w:val="24"/>
          <w:szCs w:val="24"/>
          <w:highlight w:val="none"/>
          <w:u w:val="thick" w:color="FF0000"/>
          <w:lang w:val="en-US" w:eastAsia="zh-CN"/>
        </w:rPr>
        <w:t xml:space="preserve"> 30</w:t>
      </w:r>
      <w:r>
        <w:rPr>
          <w:rFonts w:hint="eastAsia" w:ascii="宋体" w:hAnsi="宋体" w:eastAsia="宋体" w:cs="宋体"/>
          <w:b/>
          <w:bCs/>
          <w:color w:val="auto"/>
          <w:sz w:val="24"/>
          <w:szCs w:val="24"/>
          <w:highlight w:val="none"/>
          <w:u w:val="thick" w:color="FF0000"/>
        </w:rPr>
        <w:t>分</w:t>
      </w:r>
      <w:r>
        <w:rPr>
          <w:rFonts w:hint="eastAsia" w:ascii="宋体" w:hAnsi="宋体" w:eastAsia="宋体" w:cs="宋体"/>
          <w:color w:val="auto"/>
          <w:sz w:val="24"/>
          <w:szCs w:val="24"/>
          <w:highlight w:val="none"/>
        </w:rPr>
        <w:t>。</w:t>
      </w:r>
    </w:p>
    <w:p>
      <w:pPr>
        <w:adjustRightInd w:val="0"/>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开标地点：</w:t>
      </w:r>
      <w:r>
        <w:rPr>
          <w:rFonts w:hint="eastAsia" w:ascii="宋体" w:hAnsi="宋体" w:eastAsia="宋体" w:cs="宋体"/>
          <w:b/>
          <w:bCs/>
          <w:color w:val="auto"/>
          <w:sz w:val="24"/>
          <w:szCs w:val="24"/>
          <w:highlight w:val="none"/>
          <w:lang w:eastAsia="zh-CN"/>
        </w:rPr>
        <w:t>南通市行政中心综合楼736会议室</w:t>
      </w:r>
      <w:r>
        <w:rPr>
          <w:rFonts w:hint="eastAsia" w:ascii="宋体" w:hAnsi="宋体" w:eastAsia="宋体" w:cs="宋体"/>
          <w:color w:val="auto"/>
          <w:sz w:val="24"/>
          <w:szCs w:val="24"/>
          <w:highlight w:val="none"/>
        </w:rPr>
        <w:t>，如有变动另行通知；</w:t>
      </w:r>
    </w:p>
    <w:p>
      <w:pPr>
        <w:adjustRightInd w:val="0"/>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开标后磋商响应供应商不得撤回投标。</w:t>
      </w:r>
    </w:p>
    <w:p>
      <w:pPr>
        <w:adjustRightInd w:val="0"/>
        <w:snapToGrid w:val="0"/>
        <w:spacing w:line="420" w:lineRule="exact"/>
        <w:ind w:firstLine="484" w:firstLineChars="202"/>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开标后，采购人委托磋商小组对磋商响应供应商的资格进行审查，审查通过方可参与项目的技术标、价格标磋商评审综合环节。</w:t>
      </w:r>
    </w:p>
    <w:p>
      <w:pPr>
        <w:adjustRightInd w:val="0"/>
        <w:snapToGrid w:val="0"/>
        <w:spacing w:line="420" w:lineRule="exact"/>
        <w:ind w:left="478" w:leftChars="184" w:firstLine="0" w:firstLineChars="0"/>
        <w:rPr>
          <w:rFonts w:hint="default" w:ascii="宋体" w:hAnsi="宋体" w:eastAsia="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ascii="宋体" w:hAnsi="宋体" w:eastAsia="宋体" w:cs="宋体"/>
          <w:sz w:val="24"/>
          <w:szCs w:val="24"/>
          <w:highlight w:val="none"/>
        </w:rPr>
        <w:t>（1）因本次磋商为第二次，若出现供应商不足3家或者资格审查合格单位不足3家的情况，将继续采用竞争性磋商的方式确定中标候选人。磋商的原则及技术评分参照原招标文件执行。</w:t>
      </w:r>
      <w:r>
        <w:rPr>
          <w:rFonts w:ascii="宋体" w:hAnsi="宋体" w:eastAsia="宋体" w:cs="宋体"/>
          <w:sz w:val="24"/>
          <w:szCs w:val="24"/>
          <w:highlight w:val="none"/>
        </w:rPr>
        <w:br w:type="textWrapping"/>
      </w:r>
      <w:r>
        <w:rPr>
          <w:rFonts w:ascii="宋体" w:hAnsi="宋体" w:eastAsia="宋体" w:cs="宋体"/>
          <w:sz w:val="24"/>
          <w:szCs w:val="24"/>
          <w:highlight w:val="none"/>
        </w:rPr>
        <w:t>评定方法：评标小组在提交最终报价的供应商中，根据质量和服务均能满足招标文件实质性响应要求且综合得分最高的原则确定中标候选人。</w:t>
      </w:r>
      <w:r>
        <w:rPr>
          <w:rFonts w:ascii="宋体" w:hAnsi="宋体" w:eastAsia="宋体" w:cs="宋体"/>
          <w:sz w:val="24"/>
          <w:szCs w:val="24"/>
          <w:highlight w:val="none"/>
        </w:rPr>
        <w:br w:type="textWrapping"/>
      </w:r>
      <w:r>
        <w:rPr>
          <w:rFonts w:ascii="宋体" w:hAnsi="宋体" w:eastAsia="宋体" w:cs="宋体"/>
          <w:sz w:val="24"/>
          <w:szCs w:val="24"/>
          <w:highlight w:val="none"/>
        </w:rPr>
        <w:t>（2）若出现供应商不足2家或者资格审查合格单位不足2家的情况，将采用单一来源谈判采购的方式确定中标候选人。评标小组根据磋商文件规定的程序、评定成交的标准等事项与实质性响应磋商文件要求的供应商进行谈判。未实质性响应磋商文件的磋商文件按无效处理，评标小组应当告知有关供应商。递交的商务标文件中的报价作为首轮谈判报价,并在二次（最终）报价递交前对首轮谈判报价进行公开唱标。谈判结束后，供应商在规定时间内提交二次（最终）报价，二次（最终）报价不得高于首轮报价，二次（最终）报价是供应商磋商文件的有效组成部分。</w:t>
      </w:r>
      <w:r>
        <w:rPr>
          <w:rFonts w:ascii="宋体" w:hAnsi="宋体" w:eastAsia="宋体" w:cs="宋体"/>
          <w:sz w:val="24"/>
          <w:szCs w:val="24"/>
          <w:highlight w:val="none"/>
        </w:rPr>
        <w:br w:type="textWrapping"/>
      </w:r>
      <w:r>
        <w:rPr>
          <w:rFonts w:ascii="宋体" w:hAnsi="宋体" w:eastAsia="宋体" w:cs="宋体"/>
          <w:sz w:val="24"/>
          <w:szCs w:val="24"/>
          <w:highlight w:val="none"/>
        </w:rPr>
        <w:t>评定方法：评标小组在提交最终报价的供应商中，根据质量和服务均能满足磋商文件实质性响应要求且最终报价最低的原则确定中标候选人。</w:t>
      </w:r>
    </w:p>
    <w:p>
      <w:pPr>
        <w:adjustRightInd w:val="0"/>
        <w:snapToGrid w:val="0"/>
        <w:spacing w:line="420" w:lineRule="exact"/>
        <w:ind w:firstLine="484" w:firstLineChars="202"/>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资格审查地点：</w:t>
      </w:r>
      <w:r>
        <w:rPr>
          <w:rFonts w:hint="eastAsia" w:ascii="宋体" w:hAnsi="宋体" w:eastAsia="宋体" w:cs="宋体"/>
          <w:b/>
          <w:bCs/>
          <w:color w:val="auto"/>
          <w:sz w:val="24"/>
          <w:szCs w:val="24"/>
          <w:highlight w:val="none"/>
          <w:lang w:eastAsia="zh-CN"/>
        </w:rPr>
        <w:t>南通市行政中心综合楼736会议室</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如有变动另行通知；</w:t>
      </w:r>
    </w:p>
    <w:p>
      <w:pPr>
        <w:adjustRightInd w:val="0"/>
        <w:snapToGrid w:val="0"/>
        <w:spacing w:line="420" w:lineRule="exact"/>
        <w:ind w:firstLine="484" w:firstLineChars="202"/>
        <w:rPr>
          <w:rFonts w:ascii="宋体" w:hAnsi="宋体" w:eastAsia="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资格审查标准</w:t>
      </w:r>
    </w:p>
    <w:p>
      <w:pPr>
        <w:adjustRightInd w:val="0"/>
        <w:snapToGrid w:val="0"/>
        <w:spacing w:line="420" w:lineRule="exact"/>
        <w:jc w:val="center"/>
        <w:rPr>
          <w:rFonts w:ascii="宋体" w:hAnsi="宋体" w:eastAsia="宋体"/>
          <w:b/>
          <w:bCs/>
          <w:color w:val="auto"/>
          <w:sz w:val="24"/>
          <w:szCs w:val="24"/>
          <w:highlight w:val="none"/>
        </w:rPr>
      </w:pPr>
      <w:r>
        <w:rPr>
          <w:rFonts w:hint="eastAsia" w:ascii="宋体" w:hAnsi="宋体" w:eastAsia="宋体" w:cs="宋体"/>
          <w:color w:val="auto"/>
          <w:sz w:val="24"/>
          <w:szCs w:val="24"/>
          <w:highlight w:val="none"/>
        </w:rPr>
        <w:t>资格后审审查标准一览表</w:t>
      </w:r>
    </w:p>
    <w:tbl>
      <w:tblPr>
        <w:tblStyle w:val="4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22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blHeader/>
        </w:trPr>
        <w:tc>
          <w:tcPr>
            <w:tcW w:w="709" w:type="dxa"/>
            <w:vAlign w:val="center"/>
          </w:tcPr>
          <w:p>
            <w:pPr>
              <w:spacing w:line="420" w:lineRule="exact"/>
              <w:jc w:val="center"/>
              <w:rPr>
                <w:rFonts w:ascii="宋体" w:hAnsi="宋体" w:eastAsia="宋体"/>
                <w:color w:val="auto"/>
                <w:sz w:val="24"/>
                <w:szCs w:val="24"/>
                <w:highlight w:val="none"/>
              </w:rPr>
            </w:pPr>
            <w:r>
              <w:rPr>
                <w:rFonts w:hint="eastAsia" w:ascii="宋体" w:hAnsi="宋体" w:eastAsia="宋体" w:cs="宋体"/>
                <w:color w:val="auto"/>
                <w:kern w:val="0"/>
                <w:sz w:val="24"/>
                <w:szCs w:val="24"/>
                <w:highlight w:val="none"/>
              </w:rPr>
              <w:t>序号</w:t>
            </w:r>
          </w:p>
        </w:tc>
        <w:tc>
          <w:tcPr>
            <w:tcW w:w="7229" w:type="dxa"/>
            <w:vAlign w:val="center"/>
          </w:tcPr>
          <w:p>
            <w:pPr>
              <w:spacing w:line="420" w:lineRule="exact"/>
              <w:jc w:val="center"/>
              <w:rPr>
                <w:rFonts w:ascii="宋体" w:hAnsi="宋体" w:eastAsia="宋体"/>
                <w:color w:val="auto"/>
                <w:sz w:val="24"/>
                <w:szCs w:val="24"/>
                <w:highlight w:val="none"/>
              </w:rPr>
            </w:pPr>
            <w:r>
              <w:rPr>
                <w:rFonts w:hint="eastAsia" w:ascii="宋体" w:hAnsi="宋体" w:eastAsia="宋体" w:cs="宋体"/>
                <w:color w:val="auto"/>
                <w:kern w:val="0"/>
                <w:sz w:val="24"/>
                <w:szCs w:val="24"/>
                <w:highlight w:val="none"/>
              </w:rPr>
              <w:t>审查条件</w:t>
            </w:r>
          </w:p>
        </w:tc>
        <w:tc>
          <w:tcPr>
            <w:tcW w:w="1701" w:type="dxa"/>
            <w:vAlign w:val="center"/>
          </w:tcPr>
          <w:p>
            <w:pPr>
              <w:spacing w:line="420" w:lineRule="exact"/>
              <w:jc w:val="center"/>
              <w:rPr>
                <w:rFonts w:ascii="宋体" w:hAnsi="宋体" w:eastAsia="宋体"/>
                <w:color w:val="auto"/>
                <w:sz w:val="24"/>
                <w:szCs w:val="24"/>
                <w:highlight w:val="none"/>
              </w:rPr>
            </w:pPr>
            <w:r>
              <w:rPr>
                <w:rFonts w:hint="eastAsia" w:ascii="宋体" w:hAnsi="宋体" w:eastAsia="宋体" w:cs="宋体"/>
                <w:color w:val="auto"/>
                <w:kern w:val="0"/>
                <w:sz w:val="24"/>
                <w:szCs w:val="24"/>
                <w:highlight w:val="none"/>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09" w:type="dxa"/>
            <w:vAlign w:val="center"/>
          </w:tcPr>
          <w:p>
            <w:pPr>
              <w:spacing w:line="42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w:t>
            </w:r>
          </w:p>
        </w:tc>
        <w:tc>
          <w:tcPr>
            <w:tcW w:w="7229" w:type="dxa"/>
            <w:vAlign w:val="center"/>
          </w:tcPr>
          <w:p>
            <w:pPr>
              <w:spacing w:line="420" w:lineRule="exact"/>
              <w:rPr>
                <w:rFonts w:ascii="宋体" w:hAnsi="宋体" w:eastAsia="宋体"/>
                <w:color w:val="auto"/>
                <w:kern w:val="0"/>
                <w:sz w:val="24"/>
                <w:szCs w:val="24"/>
                <w:highlight w:val="none"/>
              </w:rPr>
            </w:pPr>
            <w:r>
              <w:rPr>
                <w:rFonts w:hint="eastAsia" w:ascii="宋体" w:hAnsi="宋体" w:eastAsia="宋体" w:cs="宋体"/>
                <w:color w:val="auto"/>
                <w:sz w:val="24"/>
                <w:szCs w:val="24"/>
                <w:highlight w:val="none"/>
              </w:rPr>
              <w:t>提供磋商响应供应商的《营业执照》原件的复印件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且经营范围包含本项目范围</w:t>
            </w:r>
            <w:r>
              <w:rPr>
                <w:rFonts w:hint="eastAsia" w:ascii="宋体" w:hAnsi="宋体" w:eastAsia="宋体" w:cs="宋体"/>
                <w:color w:val="auto"/>
                <w:sz w:val="24"/>
                <w:szCs w:val="24"/>
                <w:highlight w:val="none"/>
              </w:rPr>
              <w:t>（须加盖公章）。</w:t>
            </w:r>
          </w:p>
        </w:tc>
        <w:tc>
          <w:tcPr>
            <w:tcW w:w="1701" w:type="dxa"/>
            <w:vAlign w:val="center"/>
          </w:tcPr>
          <w:p>
            <w:pPr>
              <w:spacing w:line="42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09" w:type="dxa"/>
            <w:vAlign w:val="center"/>
          </w:tcPr>
          <w:p>
            <w:pPr>
              <w:spacing w:line="42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w:t>
            </w:r>
          </w:p>
        </w:tc>
        <w:tc>
          <w:tcPr>
            <w:tcW w:w="7229" w:type="dxa"/>
            <w:vAlign w:val="center"/>
          </w:tcPr>
          <w:p>
            <w:pPr>
              <w:spacing w:line="42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法定代表人参加磋商的，必须提供本人身份证原件的复印件（须加盖公章）；非法定代表人参加的，必须提供法定代表人签名或盖章的授权委托书、委托代理人身份证这</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项材料原件的复印件（须加盖公章）。</w:t>
            </w:r>
          </w:p>
        </w:tc>
        <w:tc>
          <w:tcPr>
            <w:tcW w:w="1701" w:type="dxa"/>
            <w:vAlign w:val="center"/>
          </w:tcPr>
          <w:p>
            <w:pPr>
              <w:spacing w:line="42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09" w:type="dxa"/>
            <w:vAlign w:val="center"/>
          </w:tcPr>
          <w:p>
            <w:pPr>
              <w:pStyle w:val="48"/>
              <w:ind w:left="0" w:leftChars="0" w:firstLine="0" w:firstLineChars="0"/>
              <w:rPr>
                <w:rFonts w:hint="eastAsia"/>
                <w:b w:val="0"/>
                <w:bCs w:val="0"/>
                <w:color w:val="auto"/>
                <w:highlight w:val="none"/>
                <w:lang w:val="en-US" w:eastAsia="zh-CN"/>
              </w:rPr>
            </w:pPr>
            <w:r>
              <w:rPr>
                <w:rFonts w:hint="eastAsia" w:ascii="宋体" w:hAnsi="宋体" w:eastAsia="宋体" w:cs="宋体"/>
                <w:color w:val="auto"/>
                <w:kern w:val="2"/>
                <w:sz w:val="24"/>
                <w:szCs w:val="24"/>
                <w:highlight w:val="none"/>
                <w:lang w:val="en-US" w:eastAsia="zh-CN" w:bidi="ar-SA"/>
              </w:rPr>
              <w:t>（3）</w:t>
            </w:r>
          </w:p>
        </w:tc>
        <w:tc>
          <w:tcPr>
            <w:tcW w:w="7229" w:type="dxa"/>
            <w:vAlign w:val="center"/>
          </w:tcPr>
          <w:p>
            <w:pPr>
              <w:snapToGrid w:val="0"/>
              <w:spacing w:line="42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供应商须具有独到的艺术理念和策划意识，能够满足采购人制作要求，具备策划、拍摄、设计、编剧、撰稿、配乐、灯光、后期制作等专业人才，分工明确，责任到人，提供相应证明材料（须加盖公章）。</w:t>
            </w:r>
          </w:p>
        </w:tc>
        <w:tc>
          <w:tcPr>
            <w:tcW w:w="1701" w:type="dxa"/>
            <w:vAlign w:val="center"/>
          </w:tcPr>
          <w:p>
            <w:pPr>
              <w:spacing w:line="42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9" w:type="dxa"/>
            <w:vAlign w:val="center"/>
          </w:tcPr>
          <w:p>
            <w:pPr>
              <w:spacing w:line="42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w:t>
            </w:r>
          </w:p>
        </w:tc>
        <w:tc>
          <w:tcPr>
            <w:tcW w:w="7229" w:type="dxa"/>
            <w:vAlign w:val="center"/>
          </w:tcPr>
          <w:p>
            <w:pPr>
              <w:snapToGrid w:val="0"/>
              <w:spacing w:line="420" w:lineRule="exac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sz w:val="24"/>
                <w:szCs w:val="24"/>
                <w:highlight w:val="none"/>
              </w:rPr>
              <w:t>磋商响应供应商须提供参与本次项目政府采购活动前三年内在经营活动中没有重大违法记录的书面《无重大违法记录声明函》（须加盖公章）。</w:t>
            </w:r>
          </w:p>
        </w:tc>
        <w:tc>
          <w:tcPr>
            <w:tcW w:w="1701" w:type="dxa"/>
            <w:vAlign w:val="center"/>
          </w:tcPr>
          <w:p>
            <w:pPr>
              <w:spacing w:line="420" w:lineRule="exac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09" w:type="dxa"/>
            <w:vAlign w:val="center"/>
          </w:tcPr>
          <w:p>
            <w:pPr>
              <w:spacing w:line="42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tc>
        <w:tc>
          <w:tcPr>
            <w:tcW w:w="7229" w:type="dxa"/>
            <w:vAlign w:val="center"/>
          </w:tcPr>
          <w:p>
            <w:pPr>
              <w:spacing w:line="420" w:lineRule="exac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宋体"/>
                <w:color w:val="auto"/>
                <w:sz w:val="24"/>
                <w:szCs w:val="24"/>
                <w:highlight w:val="none"/>
              </w:rPr>
              <w:t>磋商响应供应商还须提供谈判文件第八章谈判响应文件格式内“三、</w:t>
            </w:r>
            <w:r>
              <w:rPr>
                <w:rFonts w:ascii="宋体" w:hAnsi="宋体" w:eastAsia="宋体" w:cs="宋体"/>
                <w:color w:val="auto"/>
                <w:sz w:val="24"/>
                <w:szCs w:val="24"/>
                <w:highlight w:val="none"/>
              </w:rPr>
              <w:t>A</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A.2</w:t>
            </w:r>
            <w:r>
              <w:rPr>
                <w:rFonts w:hint="eastAsia" w:ascii="宋体" w:hAnsi="宋体" w:eastAsia="宋体" w:cs="宋体"/>
                <w:color w:val="auto"/>
                <w:sz w:val="24"/>
                <w:szCs w:val="24"/>
                <w:highlight w:val="none"/>
              </w:rPr>
              <w:t>、”中的“资格后审材料相关格式文件”内的：关于资格文件的声明函、磋商响应供应商一般情况表。</w:t>
            </w:r>
          </w:p>
        </w:tc>
        <w:tc>
          <w:tcPr>
            <w:tcW w:w="1701" w:type="dxa"/>
            <w:vAlign w:val="center"/>
          </w:tcPr>
          <w:p>
            <w:pPr>
              <w:spacing w:line="420" w:lineRule="exac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sz w:val="24"/>
                <w:szCs w:val="24"/>
                <w:highlight w:val="none"/>
              </w:rPr>
              <w:t>是（√）否（×）</w:t>
            </w:r>
          </w:p>
        </w:tc>
      </w:tr>
    </w:tbl>
    <w:p>
      <w:pPr>
        <w:adjustRightInd w:val="0"/>
        <w:snapToGrid w:val="0"/>
        <w:spacing w:line="420" w:lineRule="exact"/>
        <w:ind w:firstLine="487" w:firstLineChars="202"/>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四、评标</w:t>
      </w:r>
    </w:p>
    <w:p>
      <w:pPr>
        <w:snapToGrid w:val="0"/>
        <w:spacing w:line="420" w:lineRule="exact"/>
        <w:ind w:firstLine="482" w:firstLineChars="200"/>
        <w:outlineLvl w:val="2"/>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（一）评标事项</w:t>
      </w:r>
    </w:p>
    <w:p>
      <w:pPr>
        <w:snapToGrid w:val="0"/>
        <w:spacing w:line="420" w:lineRule="exact"/>
        <w:ind w:firstLine="480" w:firstLineChars="200"/>
        <w:rPr>
          <w:rFonts w:ascii="宋体" w:hAnsi="宋体" w:eastAsia="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评标时间：</w:t>
      </w:r>
      <w:r>
        <w:rPr>
          <w:rFonts w:hint="eastAsia" w:ascii="宋体" w:hAnsi="宋体" w:eastAsia="宋体" w:cs="宋体"/>
          <w:b/>
          <w:bCs/>
          <w:color w:val="auto"/>
          <w:sz w:val="24"/>
          <w:szCs w:val="24"/>
          <w:highlight w:val="none"/>
          <w:u w:val="thick" w:color="FF0000"/>
        </w:rPr>
        <w:t>开标资审后当即开始</w:t>
      </w:r>
      <w:r>
        <w:rPr>
          <w:rFonts w:hint="eastAsia" w:ascii="宋体" w:hAnsi="宋体" w:eastAsia="宋体" w:cs="宋体"/>
          <w:color w:val="auto"/>
          <w:sz w:val="24"/>
          <w:szCs w:val="24"/>
          <w:highlight w:val="none"/>
        </w:rPr>
        <w:t>；</w:t>
      </w:r>
    </w:p>
    <w:p>
      <w:pPr>
        <w:adjustRightInd w:val="0"/>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磋商小组负责具体的评标磋商事务，并独立履行以下职责：</w:t>
      </w:r>
    </w:p>
    <w:p>
      <w:pPr>
        <w:adjustRightInd w:val="0"/>
        <w:snapToGrid w:val="0"/>
        <w:spacing w:line="420" w:lineRule="exact"/>
        <w:ind w:firstLine="484" w:firstLineChars="202"/>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）审查合格磋商响应供应商的技术标文件是否实质性响应竞争性磋商文件要求，并做出评价；</w:t>
      </w:r>
    </w:p>
    <w:p>
      <w:pPr>
        <w:adjustRightInd w:val="0"/>
        <w:snapToGrid w:val="0"/>
        <w:spacing w:line="420" w:lineRule="exact"/>
        <w:ind w:firstLine="484" w:firstLineChars="202"/>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）可以要求磋商响应供应商对磋商响应文件中的有关事项做出解释或澄清；</w:t>
      </w:r>
    </w:p>
    <w:p>
      <w:pPr>
        <w:adjustRightInd w:val="0"/>
        <w:snapToGrid w:val="0"/>
        <w:spacing w:line="420" w:lineRule="exact"/>
        <w:ind w:firstLine="484" w:firstLineChars="202"/>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）按竞争性磋商文件载明的方法推荐成交候选人名单；</w:t>
      </w:r>
    </w:p>
    <w:p>
      <w:pPr>
        <w:snapToGrid w:val="0"/>
        <w:spacing w:line="420" w:lineRule="exact"/>
        <w:ind w:left="2" w:firstLine="484" w:firstLineChars="202"/>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磋商小组发现竞争性磋商文件存在歧义、重大缺陷导致评标磋商工作无法进行，或者竞争性磋商文件内容违反国家有关强制性规定的，应当停止评标磋商工作，与采购人或者采购代理机构沟通并作书面记录。采购人或者采购代理机构确认后，应当修改竞争性磋商文件，重新组织采购活动。</w:t>
      </w:r>
    </w:p>
    <w:p>
      <w:pPr>
        <w:adjustRightInd w:val="0"/>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磋商小组成员应当履行下列义务：</w:t>
      </w:r>
    </w:p>
    <w:p>
      <w:pPr>
        <w:adjustRightInd w:val="0"/>
        <w:snapToGrid w:val="0"/>
        <w:spacing w:line="420" w:lineRule="exact"/>
        <w:ind w:firstLine="484" w:firstLineChars="202"/>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）遵纪守法，客观、公正、廉洁地履行职责；</w:t>
      </w:r>
    </w:p>
    <w:p>
      <w:pPr>
        <w:adjustRightInd w:val="0"/>
        <w:snapToGrid w:val="0"/>
        <w:spacing w:line="420" w:lineRule="exact"/>
        <w:ind w:firstLine="484" w:firstLineChars="202"/>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）磋商小组成员应当按照客观、公正、审慎的原则，根据磋商文件规定的评审程序、评审方法和评审标准进行独立评审并对评审意见承担个人责任。</w:t>
      </w:r>
    </w:p>
    <w:p>
      <w:pPr>
        <w:adjustRightInd w:val="0"/>
        <w:snapToGrid w:val="0"/>
        <w:spacing w:line="420" w:lineRule="exact"/>
        <w:ind w:firstLine="484" w:firstLineChars="202"/>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）磋商小组成员应当遵守评审工作纪律，不得泄露磋商评审情况和磋商评审中获悉的商业秘密；</w:t>
      </w:r>
    </w:p>
    <w:p>
      <w:pPr>
        <w:adjustRightInd w:val="0"/>
        <w:snapToGrid w:val="0"/>
        <w:spacing w:line="420" w:lineRule="exact"/>
        <w:ind w:firstLine="484" w:firstLineChars="202"/>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）磋商评审程序中的有关记录由磋商小组成员签名，存档备查。</w:t>
      </w:r>
    </w:p>
    <w:p>
      <w:pPr>
        <w:adjustRightInd w:val="0"/>
        <w:snapToGrid w:val="0"/>
        <w:spacing w:line="420" w:lineRule="exact"/>
        <w:ind w:firstLine="484" w:firstLineChars="202"/>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）磋商小组成员在评审过程中发现供应商有行贿、提供虚假材料或者串通等违法行为的，应当及时向上级主管部门或相关监管部门报告。</w:t>
      </w:r>
    </w:p>
    <w:p>
      <w:pPr>
        <w:adjustRightInd w:val="0"/>
        <w:snapToGrid w:val="0"/>
        <w:spacing w:line="420" w:lineRule="exact"/>
        <w:ind w:firstLine="484" w:firstLineChars="202"/>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6</w:t>
      </w:r>
      <w:r>
        <w:rPr>
          <w:rFonts w:hint="eastAsia" w:ascii="宋体" w:hAnsi="宋体" w:eastAsia="宋体" w:cs="宋体"/>
          <w:color w:val="auto"/>
          <w:sz w:val="24"/>
          <w:szCs w:val="24"/>
          <w:highlight w:val="none"/>
        </w:rPr>
        <w:t>）磋商评委在磋商评审过程中受到非法干涉的，应当及时向财政、监察等部门举报。</w:t>
      </w:r>
    </w:p>
    <w:p>
      <w:pPr>
        <w:adjustRightInd w:val="0"/>
        <w:snapToGrid w:val="0"/>
        <w:spacing w:line="420" w:lineRule="exact"/>
        <w:ind w:firstLine="484" w:firstLineChars="202"/>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7</w:t>
      </w:r>
      <w:r>
        <w:rPr>
          <w:rFonts w:hint="eastAsia" w:ascii="宋体" w:hAnsi="宋体" w:eastAsia="宋体" w:cs="宋体"/>
          <w:color w:val="auto"/>
          <w:sz w:val="24"/>
          <w:szCs w:val="24"/>
          <w:highlight w:val="none"/>
        </w:rPr>
        <w:t>）磋商小组成员有义务及责任配合采购人答复供应商提出的质疑，配合财政部门的投诉处理和监督检查工作。</w:t>
      </w:r>
    </w:p>
    <w:p>
      <w:pPr>
        <w:adjustRightInd w:val="0"/>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除采购人代表、评标磋商现场组织人员外，采购人的其他工作人员以及与评标磋商工作无关的人员不得进入评标现场。</w:t>
      </w:r>
    </w:p>
    <w:p>
      <w:pPr>
        <w:adjustRightInd w:val="0"/>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有关人员对评标情况以及在评标过程中获悉的国家秘密、商业秘密负有保密责任。</w:t>
      </w:r>
    </w:p>
    <w:p>
      <w:pPr>
        <w:adjustRightInd w:val="0"/>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6.</w:t>
      </w:r>
      <w:r>
        <w:rPr>
          <w:rFonts w:hint="eastAsia" w:ascii="宋体" w:hAnsi="宋体" w:eastAsia="宋体" w:cs="宋体"/>
          <w:color w:val="auto"/>
          <w:sz w:val="24"/>
          <w:szCs w:val="24"/>
          <w:highlight w:val="none"/>
        </w:rPr>
        <w:t>竞争性磋商开标后，直到公告项目成交结果，发出成交通知书并授予成交人合同为止，凡属于评审、澄清、评价和比较磋商响应的所有资料及有关授予合同等的相关信息，都严禁向响应供应商或与磋商评审无关的其他人（单位）泄露。</w:t>
      </w:r>
    </w:p>
    <w:p>
      <w:pPr>
        <w:adjustRightInd w:val="0"/>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7.</w:t>
      </w:r>
      <w:r>
        <w:rPr>
          <w:rFonts w:hint="eastAsia" w:ascii="宋体" w:hAnsi="宋体" w:eastAsia="宋体" w:cs="宋体"/>
          <w:color w:val="auto"/>
          <w:sz w:val="24"/>
          <w:szCs w:val="24"/>
          <w:highlight w:val="none"/>
        </w:rPr>
        <w:t>在磋商响应文件的评审、澄清、评价和比较的过程中，供应商对采购人和磋商小组成员有施加影响的任何行为，都将取消其磋商资格。在授予合同的过程中，供应商对采购人和磋商小组成员有施加影响的任何行为，都将取消其成交资格。</w:t>
      </w:r>
    </w:p>
    <w:p>
      <w:pPr>
        <w:snapToGrid w:val="0"/>
        <w:spacing w:line="420" w:lineRule="exact"/>
        <w:ind w:firstLine="482" w:firstLineChars="200"/>
        <w:outlineLvl w:val="2"/>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（二）竞争性磋商方法</w:t>
      </w:r>
    </w:p>
    <w:p>
      <w:pPr>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磋商小组依据《中华人民共和国政府采购法》、《政府采购竞争性磋商采购方式管理暂行办法》以及有关政府采购的相关法规，遵循“公开、公平、公正、择优、信用”的原则进行磋商评审。</w:t>
      </w:r>
    </w:p>
    <w:p>
      <w:pPr>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磋商小组将按照竞争性磋商文件的规定，只对资格审查合格的供应商的磋商响应文件进行评审和比较。</w:t>
      </w:r>
    </w:p>
    <w:p>
      <w:pPr>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磋商小组根据磋商文件规定的程序、评定成交的标准等事项，判定实质性响应磋商文件要求的供应商列为最终评审报价供应商，否则须进行磋商后确定最终采购需求和最终评审报价的供应商。未实质性响应磋商文件要求的磋商响应文件按无效处理，磋商小组应当告知提交磋商响应文件的供应商。</w:t>
      </w:r>
    </w:p>
    <w:p>
      <w:pPr>
        <w:snapToGrid w:val="0"/>
        <w:spacing w:line="420" w:lineRule="exact"/>
        <w:ind w:firstLine="484" w:firstLineChars="202"/>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）如需进行磋商后确定最终采购需求和最终评审报价供应商的，则经首次磋商响应报价后进入磋商环节，磋商小组所有成员应当集中与单一供应商分别进行磋商，并给予所有参加磋商的供应商平等的磋商机会。</w:t>
      </w:r>
    </w:p>
    <w:p>
      <w:pPr>
        <w:snapToGrid w:val="0"/>
        <w:spacing w:line="420" w:lineRule="exact"/>
        <w:ind w:firstLine="484" w:firstLineChars="202"/>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snapToGrid w:val="0"/>
        <w:spacing w:line="420" w:lineRule="exact"/>
        <w:ind w:firstLine="484" w:firstLineChars="202"/>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）对磋商文件做出的实质性变动是磋商文件的有效组成部分，磋商小组应当及时以书面形式同时通知所有参加磋商的供应商。</w:t>
      </w:r>
    </w:p>
    <w:p>
      <w:pPr>
        <w:snapToGrid w:val="0"/>
        <w:spacing w:line="420" w:lineRule="exact"/>
        <w:ind w:firstLine="484" w:firstLineChars="202"/>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供应商应当按照磋商文件的变动情况和磋商小组的要求重新提交响应文件，并由其法定代表人或被委托受权人签字（或盖章）或者加盖公章。由被委托受权人签字的，应当附法定代表人授权书。供应商为自然人的，应当由本人签字并附身份证明。</w:t>
      </w:r>
    </w:p>
    <w:p>
      <w:pPr>
        <w:snapToGrid w:val="0"/>
        <w:spacing w:line="420" w:lineRule="exact"/>
        <w:ind w:firstLine="484" w:firstLineChars="202"/>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）磋商结束后，磋商小组应当对所有实质性响应并入围最终评审报价供应商的磋商响应技术文件进行评审打分。</w:t>
      </w:r>
    </w:p>
    <w:p>
      <w:pPr>
        <w:snapToGrid w:val="0"/>
        <w:spacing w:line="420" w:lineRule="exact"/>
        <w:ind w:firstLine="484" w:firstLineChars="202"/>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6</w:t>
      </w:r>
      <w:r>
        <w:rPr>
          <w:rFonts w:hint="eastAsia" w:ascii="宋体" w:hAnsi="宋体" w:eastAsia="宋体" w:cs="宋体"/>
          <w:color w:val="auto"/>
          <w:sz w:val="24"/>
          <w:szCs w:val="24"/>
          <w:highlight w:val="none"/>
        </w:rPr>
        <w:t>）已提交响应文件的供应商，在进入磋商最后报价之前，可以根据磋商情况退出磋商。</w:t>
      </w:r>
    </w:p>
    <w:p>
      <w:pPr>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磋商文件不能详细列明采购标的的技术、服务要求，需经磋商由供应商提供最终设计方案或解决方案的，磋商结束后，磋商小组应当按照少数服从多数的原则投票推荐</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家以上供应商的设计方案或者解决方案，并对其进行最终评审。</w:t>
      </w:r>
    </w:p>
    <w:p>
      <w:pPr>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在磋商中，磋商的任何一方不得透露与磋商有关的其他响应磋商的供应商的技术资料、价格及其他信息。</w:t>
      </w:r>
    </w:p>
    <w:p>
      <w:pPr>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6.</w:t>
      </w:r>
      <w:r>
        <w:rPr>
          <w:rFonts w:hint="eastAsia" w:ascii="宋体" w:hAnsi="宋体" w:eastAsia="宋体" w:cs="宋体"/>
          <w:color w:val="auto"/>
          <w:sz w:val="24"/>
          <w:szCs w:val="24"/>
          <w:highlight w:val="none"/>
        </w:rPr>
        <w:t>对磋商技术响应文件进行比较评审，是否可列为最终评审报价供应商</w:t>
      </w:r>
    </w:p>
    <w:tbl>
      <w:tblPr>
        <w:tblStyle w:val="4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trPr>
        <w:tc>
          <w:tcPr>
            <w:tcW w:w="851" w:type="dxa"/>
            <w:vAlign w:val="center"/>
          </w:tcPr>
          <w:p>
            <w:pPr>
              <w:spacing w:line="420" w:lineRule="exact"/>
              <w:jc w:val="center"/>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8788" w:type="dxa"/>
            <w:vAlign w:val="center"/>
          </w:tcPr>
          <w:p>
            <w:pPr>
              <w:spacing w:line="420" w:lineRule="exact"/>
              <w:jc w:val="center"/>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评审比较内容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1" w:type="dxa"/>
            <w:vAlign w:val="center"/>
          </w:tcPr>
          <w:p>
            <w:pPr>
              <w:spacing w:line="420" w:lineRule="exact"/>
              <w:jc w:val="center"/>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w:t>
            </w:r>
          </w:p>
        </w:tc>
        <w:tc>
          <w:tcPr>
            <w:tcW w:w="8788" w:type="dxa"/>
            <w:vAlign w:val="center"/>
          </w:tcPr>
          <w:p>
            <w:pPr>
              <w:spacing w:line="42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供应商提供的技术响应是否满足磋商文件要求，包含付款方式等；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1" w:type="dxa"/>
            <w:vAlign w:val="center"/>
          </w:tcPr>
          <w:p>
            <w:pPr>
              <w:tabs>
                <w:tab w:val="left" w:pos="0"/>
              </w:tabs>
              <w:spacing w:line="420" w:lineRule="exact"/>
              <w:jc w:val="center"/>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rPr>
              <w:t>）</w:t>
            </w:r>
          </w:p>
        </w:tc>
        <w:tc>
          <w:tcPr>
            <w:tcW w:w="8788" w:type="dxa"/>
            <w:vAlign w:val="center"/>
          </w:tcPr>
          <w:p>
            <w:pPr>
              <w:spacing w:line="420" w:lineRule="exact"/>
              <w:rPr>
                <w:rFonts w:ascii="宋体" w:hAnsi="宋体" w:eastAsia="宋体"/>
                <w:color w:val="auto"/>
                <w:sz w:val="24"/>
                <w:szCs w:val="24"/>
                <w:highlight w:val="none"/>
              </w:rPr>
            </w:pPr>
            <w:r>
              <w:rPr>
                <w:rFonts w:hint="eastAsia" w:ascii="宋体" w:hAnsi="宋体" w:eastAsia="宋体" w:cs="宋体"/>
                <w:color w:val="auto"/>
                <w:kern w:val="0"/>
                <w:sz w:val="24"/>
                <w:szCs w:val="24"/>
                <w:highlight w:val="none"/>
              </w:rPr>
              <w:t>提供的项目</w:t>
            </w:r>
            <w:r>
              <w:rPr>
                <w:rFonts w:hint="eastAsia" w:ascii="宋体" w:hAnsi="宋体" w:eastAsia="宋体" w:cs="宋体"/>
                <w:color w:val="auto"/>
                <w:kern w:val="0"/>
                <w:sz w:val="24"/>
                <w:szCs w:val="24"/>
                <w:highlight w:val="none"/>
                <w:lang w:val="en-US" w:eastAsia="zh-CN"/>
              </w:rPr>
              <w:t>脚本方案</w:t>
            </w:r>
            <w:r>
              <w:rPr>
                <w:rFonts w:hint="eastAsia" w:ascii="宋体" w:hAnsi="宋体" w:eastAsia="宋体" w:cs="宋体"/>
                <w:color w:val="auto"/>
                <w:kern w:val="0"/>
                <w:sz w:val="24"/>
                <w:szCs w:val="24"/>
                <w:highlight w:val="none"/>
              </w:rPr>
              <w:t>与磋商文件要求的符合度，可否进入磋商环节；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1" w:type="dxa"/>
            <w:vAlign w:val="center"/>
          </w:tcPr>
          <w:p>
            <w:pPr>
              <w:tabs>
                <w:tab w:val="left" w:pos="0"/>
              </w:tabs>
              <w:spacing w:line="420" w:lineRule="exact"/>
              <w:jc w:val="center"/>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w:t>
            </w:r>
          </w:p>
        </w:tc>
        <w:tc>
          <w:tcPr>
            <w:tcW w:w="8788" w:type="dxa"/>
            <w:vAlign w:val="center"/>
          </w:tcPr>
          <w:p>
            <w:pPr>
              <w:spacing w:line="42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结合供应商提供的技术响应文件，判断是否需要进行磋商确定最终采购需求；</w:t>
            </w:r>
          </w:p>
        </w:tc>
      </w:tr>
    </w:tbl>
    <w:p>
      <w:pPr>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7.</w:t>
      </w:r>
      <w:r>
        <w:rPr>
          <w:rFonts w:hint="eastAsia" w:ascii="宋体" w:hAnsi="宋体" w:eastAsia="宋体" w:cs="宋体"/>
          <w:color w:val="auto"/>
          <w:sz w:val="24"/>
          <w:szCs w:val="24"/>
          <w:highlight w:val="none"/>
        </w:rPr>
        <w:t>磋商响应报价的价格评审：</w:t>
      </w:r>
    </w:p>
    <w:p>
      <w:pPr>
        <w:snapToGrid w:val="0"/>
        <w:spacing w:line="420" w:lineRule="exact"/>
        <w:ind w:firstLine="484" w:firstLineChars="202"/>
        <w:rPr>
          <w:rFonts w:ascii="宋体" w:hAnsi="宋体" w:eastAsia="宋体"/>
          <w:color w:val="auto"/>
          <w:sz w:val="24"/>
          <w:szCs w:val="24"/>
          <w:highlight w:val="none"/>
        </w:rPr>
      </w:pPr>
      <w:r>
        <w:rPr>
          <w:rFonts w:hint="eastAsia" w:ascii="宋体" w:hAnsi="宋体" w:eastAsia="宋体" w:cs="宋体"/>
          <w:color w:val="auto"/>
          <w:sz w:val="24"/>
          <w:szCs w:val="24"/>
          <w:highlight w:val="none"/>
        </w:rPr>
        <w:t>磋商小组认为入围最终评审报价供应商的报价（现场二次最终）明显低于其他入围最终评审报价供应商的报价（现场二次最终），有可能影响产品或服务的质量或者不能诚信履约的，应当要求其“在评标现场”合理的时间内提供“书面”说明，必要时提交“相关证明”材料；供应商不能证明其“报价合理性”的，磋商小组应当将其作为无效磋商处理。</w:t>
      </w:r>
    </w:p>
    <w:p>
      <w:pPr>
        <w:snapToGrid w:val="0"/>
        <w:spacing w:line="420" w:lineRule="exact"/>
        <w:ind w:firstLine="482" w:firstLineChars="200"/>
        <w:outlineLvl w:val="2"/>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（三）评标磋商的结果</w:t>
      </w:r>
    </w:p>
    <w:p>
      <w:pPr>
        <w:snapToGrid w:val="0"/>
        <w:spacing w:line="420" w:lineRule="exact"/>
        <w:ind w:firstLine="484" w:firstLineChars="202"/>
        <w:rPr>
          <w:rFonts w:ascii="宋体" w:hAnsi="宋体" w:eastAsia="宋体"/>
          <w:color w:val="auto"/>
          <w:sz w:val="24"/>
          <w:szCs w:val="24"/>
          <w:highlight w:val="none"/>
        </w:rPr>
      </w:pPr>
      <w:r>
        <w:rPr>
          <w:rFonts w:hint="eastAsia" w:ascii="宋体" w:hAnsi="宋体" w:eastAsia="宋体" w:cs="宋体"/>
          <w:color w:val="auto"/>
          <w:sz w:val="24"/>
          <w:szCs w:val="24"/>
          <w:highlight w:val="none"/>
        </w:rPr>
        <w:t>经评审确定</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最终评审报价供应商</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或经磋商</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确定最终采购需求列入最终评审报价供应商</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后，由磋商小组采用</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综合评分法</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对响应文件满足磋商文件全部实质性要求的列入</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最终评审报价供应商</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的响应文件，按评审因素的量化指标进行评审：</w:t>
      </w:r>
    </w:p>
    <w:p>
      <w:pPr>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进入综合评分评审阶段后，磋商小组成员会将仅对按本磋商文件载明的方法与规定，对满足磋商文件全部实质性要求的磋商响应文件进行评审、评价和比较。</w:t>
      </w:r>
    </w:p>
    <w:p>
      <w:pPr>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磋商小组各成员应当独立对每个有效的磋商响应文件进行评价、打分，然后汇总每个供应商每项评分因素的得分（计算结果均四舍五入保留两位小数）。</w:t>
      </w:r>
    </w:p>
    <w:p>
      <w:pPr>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本次磋商项目进入到综合评分阶段中的技术和商务报价磋商评审总分值为</w:t>
      </w:r>
      <w:r>
        <w:rPr>
          <w:rFonts w:ascii="宋体" w:hAnsi="宋体" w:eastAsia="宋体" w:cs="宋体"/>
          <w:color w:val="auto"/>
          <w:sz w:val="24"/>
          <w:szCs w:val="24"/>
          <w:highlight w:val="none"/>
        </w:rPr>
        <w:t>100</w:t>
      </w:r>
      <w:r>
        <w:rPr>
          <w:rFonts w:hint="eastAsia" w:ascii="宋体" w:hAnsi="宋体" w:eastAsia="宋体" w:cs="宋体"/>
          <w:color w:val="auto"/>
          <w:sz w:val="24"/>
          <w:szCs w:val="24"/>
          <w:highlight w:val="none"/>
        </w:rPr>
        <w:t>分。两部分评审因素比重如下：</w:t>
      </w:r>
    </w:p>
    <w:p>
      <w:pPr>
        <w:snapToGrid w:val="0"/>
        <w:spacing w:line="420" w:lineRule="exact"/>
        <w:ind w:firstLine="484" w:firstLineChars="202"/>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）技术标分值占总分值的比重为</w:t>
      </w:r>
      <w:r>
        <w:rPr>
          <w:rFonts w:hint="eastAsia" w:ascii="宋体" w:hAnsi="宋体" w:eastAsia="宋体" w:cs="宋体"/>
          <w:color w:val="auto"/>
          <w:sz w:val="24"/>
          <w:szCs w:val="24"/>
          <w:highlight w:val="none"/>
          <w:u w:val="single"/>
          <w:lang w:val="en-US" w:eastAsia="zh-CN"/>
        </w:rPr>
        <w:t>80</w:t>
      </w:r>
      <w:r>
        <w:rPr>
          <w:rFonts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rPr>
        <w:t>（权重）</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（四舍五入保留两位小数）；</w:t>
      </w:r>
    </w:p>
    <w:p>
      <w:pPr>
        <w:snapToGrid w:val="0"/>
        <w:spacing w:line="420" w:lineRule="exact"/>
        <w:ind w:firstLine="484" w:firstLineChars="202"/>
        <w:rPr>
          <w:rFonts w:ascii="宋体" w:hAnsi="宋体" w:eastAsia="宋体"/>
          <w:i w:val="0"/>
          <w:iCs w:val="0"/>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）磋商响应最后商务报价分值占总分值的</w:t>
      </w:r>
      <w:r>
        <w:rPr>
          <w:rFonts w:hint="eastAsia" w:ascii="宋体" w:hAnsi="宋体" w:eastAsia="宋体" w:cs="宋体"/>
          <w:i w:val="0"/>
          <w:iCs w:val="0"/>
          <w:color w:val="auto"/>
          <w:sz w:val="24"/>
          <w:szCs w:val="24"/>
          <w:highlight w:val="none"/>
        </w:rPr>
        <w:t>比重为</w:t>
      </w:r>
      <w:r>
        <w:rPr>
          <w:rFonts w:hint="eastAsia" w:ascii="宋体" w:hAnsi="宋体" w:eastAsia="宋体" w:cs="宋体"/>
          <w:i w:val="0"/>
          <w:iCs w:val="0"/>
          <w:color w:val="auto"/>
          <w:sz w:val="24"/>
          <w:szCs w:val="24"/>
          <w:highlight w:val="none"/>
          <w:u w:val="single"/>
          <w:lang w:val="en-US" w:eastAsia="zh-CN"/>
        </w:rPr>
        <w:t>2</w:t>
      </w:r>
      <w:r>
        <w:rPr>
          <w:rFonts w:ascii="宋体" w:hAnsi="宋体" w:eastAsia="宋体" w:cs="宋体"/>
          <w:i w:val="0"/>
          <w:iCs w:val="0"/>
          <w:color w:val="auto"/>
          <w:sz w:val="24"/>
          <w:szCs w:val="24"/>
          <w:highlight w:val="none"/>
          <w:u w:val="single"/>
        </w:rPr>
        <w:t>0%</w:t>
      </w:r>
      <w:r>
        <w:rPr>
          <w:rFonts w:hint="eastAsia" w:ascii="宋体" w:hAnsi="宋体" w:eastAsia="宋体" w:cs="宋体"/>
          <w:i w:val="0"/>
          <w:iCs w:val="0"/>
          <w:color w:val="auto"/>
          <w:sz w:val="24"/>
          <w:szCs w:val="24"/>
          <w:highlight w:val="none"/>
          <w:u w:val="single"/>
        </w:rPr>
        <w:t>（权重）</w:t>
      </w:r>
      <w:r>
        <w:rPr>
          <w:rFonts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（四舍五入保留两位小数）。</w:t>
      </w:r>
    </w:p>
    <w:p>
      <w:pPr>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当磋商小组成员为</w:t>
      </w: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人（不含</w:t>
      </w: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人）以上的，技术分去掉一个最高分和一个最低分后均算而成，当磋商小组成员少于</w:t>
      </w: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人（含</w:t>
      </w: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人）时，技术分按算术平均值计算，四舍五入保留两位小数。</w:t>
      </w:r>
    </w:p>
    <w:p>
      <w:pPr>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最后报价分统一采用低价优先法计算直接取得，与技术得分相加为磋商响应供应商的综合得分（四舍五入保留两位小数）。</w:t>
      </w:r>
    </w:p>
    <w:p>
      <w:pPr>
        <w:snapToGrid w:val="0"/>
        <w:spacing w:line="420" w:lineRule="exact"/>
        <w:ind w:firstLine="484" w:firstLineChars="202"/>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6</w:t>
      </w:r>
      <w:r>
        <w:rPr>
          <w:rFonts w:hint="eastAsia" w:ascii="宋体" w:hAnsi="宋体" w:eastAsia="宋体" w:cs="宋体"/>
          <w:color w:val="auto"/>
          <w:sz w:val="24"/>
          <w:szCs w:val="24"/>
          <w:highlight w:val="none"/>
        </w:rPr>
        <w:t>、综合得分最高的推荐为本项目的成交供应商并出具《磋商评审报告》。</w:t>
      </w:r>
    </w:p>
    <w:p>
      <w:pPr>
        <w:snapToGrid w:val="0"/>
        <w:spacing w:line="420" w:lineRule="exact"/>
        <w:ind w:firstLine="482" w:firstLineChars="200"/>
        <w:outlineLvl w:val="2"/>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（四）综合评分评审因素</w:t>
      </w:r>
    </w:p>
    <w:p>
      <w:pPr>
        <w:widowControl/>
        <w:spacing w:line="360" w:lineRule="exact"/>
        <w:ind w:firstLine="480" w:firstLineChars="200"/>
        <w:jc w:val="left"/>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商务技术分：</w:t>
      </w:r>
      <w:r>
        <w:rPr>
          <w:rFonts w:hint="eastAsia" w:ascii="宋体" w:hAnsi="宋体" w:eastAsia="宋体" w:cs="宋体"/>
          <w:color w:val="auto"/>
          <w:sz w:val="24"/>
          <w:szCs w:val="24"/>
          <w:highlight w:val="none"/>
          <w:lang w:val="en-US" w:eastAsia="zh-CN"/>
        </w:rPr>
        <w:t>8</w:t>
      </w:r>
      <w:r>
        <w:rPr>
          <w:rFonts w:ascii="宋体" w:hAnsi="宋体" w:eastAsia="宋体" w:cs="宋体"/>
          <w:color w:val="auto"/>
          <w:sz w:val="24"/>
          <w:szCs w:val="24"/>
          <w:highlight w:val="none"/>
        </w:rPr>
        <w:t>0</w:t>
      </w:r>
      <w:r>
        <w:rPr>
          <w:rFonts w:hint="eastAsia" w:ascii="宋体" w:hAnsi="宋体" w:eastAsia="宋体" w:cs="宋体"/>
          <w:color w:val="auto"/>
          <w:sz w:val="24"/>
          <w:szCs w:val="24"/>
          <w:highlight w:val="none"/>
        </w:rPr>
        <w:t>分</w:t>
      </w:r>
    </w:p>
    <w:tbl>
      <w:tblPr>
        <w:tblStyle w:val="49"/>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487"/>
        <w:gridCol w:w="7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65" w:type="dxa"/>
            <w:noWrap w:val="0"/>
            <w:vAlign w:val="center"/>
          </w:tcPr>
          <w:p>
            <w:pPr>
              <w:widowControl/>
              <w:spacing w:line="360" w:lineRule="exact"/>
              <w:jc w:val="center"/>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序号</w:t>
            </w:r>
          </w:p>
        </w:tc>
        <w:tc>
          <w:tcPr>
            <w:tcW w:w="1487" w:type="dxa"/>
            <w:noWrap w:val="0"/>
            <w:vAlign w:val="center"/>
          </w:tcPr>
          <w:p>
            <w:pPr>
              <w:widowControl/>
              <w:spacing w:line="360" w:lineRule="exact"/>
              <w:jc w:val="center"/>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评定项目</w:t>
            </w:r>
          </w:p>
        </w:tc>
        <w:tc>
          <w:tcPr>
            <w:tcW w:w="7225" w:type="dxa"/>
            <w:noWrap w:val="0"/>
            <w:vAlign w:val="center"/>
          </w:tcPr>
          <w:p>
            <w:pPr>
              <w:widowControl/>
              <w:spacing w:line="360" w:lineRule="exact"/>
              <w:jc w:val="center"/>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评定方法和说明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46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11</w:t>
            </w:r>
          </w:p>
        </w:tc>
        <w:tc>
          <w:tcPr>
            <w:tcW w:w="148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创意书</w:t>
            </w:r>
          </w:p>
          <w:p>
            <w:pPr>
              <w:pStyle w:val="2"/>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2</w:t>
            </w:r>
            <w:r>
              <w:rPr>
                <w:rFonts w:hint="default" w:ascii="宋体" w:hAnsi="宋体" w:eastAsia="宋体" w:cs="宋体"/>
                <w:kern w:val="2"/>
                <w:sz w:val="24"/>
                <w:szCs w:val="24"/>
                <w:highlight w:val="none"/>
                <w:lang w:val="en-US" w:eastAsia="zh-CN" w:bidi="ar-SA"/>
              </w:rPr>
              <w:t>0分）</w:t>
            </w:r>
          </w:p>
        </w:tc>
        <w:tc>
          <w:tcPr>
            <w:tcW w:w="722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创意书</w:t>
            </w:r>
            <w:r>
              <w:rPr>
                <w:rFonts w:hint="eastAsia" w:ascii="宋体" w:hAnsi="宋体" w:eastAsia="宋体" w:cs="宋体"/>
                <w:kern w:val="2"/>
                <w:sz w:val="24"/>
                <w:szCs w:val="24"/>
                <w:highlight w:val="none"/>
                <w:lang w:val="en-US" w:eastAsia="zh-CN" w:bidi="ar-SA"/>
              </w:rPr>
              <w:t>通过回顾市管退休干部的感动瞬间，艺术性地呈现在市委市政府领导下，新时代南通的高质量发展之路，致敬忠诚履职、担当作为的人民公仆。退休感言撷取采访中的精彩片段，以温暖朴素的艺术表现形式，展示市管干部初心不改、使命不怠的精神风貌。</w:t>
            </w:r>
            <w:r>
              <w:rPr>
                <w:rFonts w:hint="default" w:ascii="宋体" w:hAnsi="宋体" w:eastAsia="宋体" w:cs="宋体"/>
                <w:kern w:val="2"/>
                <w:sz w:val="24"/>
                <w:szCs w:val="24"/>
                <w:highlight w:val="none"/>
                <w:lang w:val="en-US" w:eastAsia="zh-CN" w:bidi="ar-SA"/>
              </w:rPr>
              <w:t>优得</w:t>
            </w:r>
            <w:r>
              <w:rPr>
                <w:rFonts w:hint="eastAsia" w:ascii="宋体" w:hAnsi="宋体" w:eastAsia="宋体" w:cs="宋体"/>
                <w:kern w:val="2"/>
                <w:sz w:val="24"/>
                <w:szCs w:val="24"/>
                <w:highlight w:val="none"/>
                <w:lang w:val="en-US" w:eastAsia="zh-CN" w:bidi="ar-SA"/>
              </w:rPr>
              <w:t>1</w:t>
            </w:r>
            <w:r>
              <w:rPr>
                <w:rFonts w:hint="default" w:ascii="宋体" w:hAnsi="宋体" w:eastAsia="宋体" w:cs="宋体"/>
                <w:kern w:val="2"/>
                <w:sz w:val="24"/>
                <w:szCs w:val="24"/>
                <w:highlight w:val="none"/>
                <w:lang w:val="en-US" w:eastAsia="zh-CN" w:bidi="ar-SA"/>
              </w:rPr>
              <w:t>6-</w:t>
            </w:r>
            <w:r>
              <w:rPr>
                <w:rFonts w:hint="eastAsia" w:ascii="宋体" w:hAnsi="宋体" w:eastAsia="宋体" w:cs="宋体"/>
                <w:kern w:val="2"/>
                <w:sz w:val="24"/>
                <w:szCs w:val="24"/>
                <w:highlight w:val="none"/>
                <w:lang w:val="en-US" w:eastAsia="zh-CN" w:bidi="ar-SA"/>
              </w:rPr>
              <w:t>2</w:t>
            </w:r>
            <w:r>
              <w:rPr>
                <w:rFonts w:hint="default" w:ascii="宋体" w:hAnsi="宋体" w:eastAsia="宋体" w:cs="宋体"/>
                <w:kern w:val="2"/>
                <w:sz w:val="24"/>
                <w:szCs w:val="24"/>
                <w:highlight w:val="none"/>
                <w:lang w:val="en-US" w:eastAsia="zh-CN" w:bidi="ar-SA"/>
              </w:rPr>
              <w:t>0分，良得</w:t>
            </w:r>
            <w:r>
              <w:rPr>
                <w:rFonts w:hint="eastAsia" w:ascii="宋体" w:hAnsi="宋体" w:eastAsia="宋体" w:cs="宋体"/>
                <w:kern w:val="2"/>
                <w:sz w:val="24"/>
                <w:szCs w:val="24"/>
                <w:highlight w:val="none"/>
                <w:lang w:val="en-US" w:eastAsia="zh-CN" w:bidi="ar-SA"/>
              </w:rPr>
              <w:t>11</w:t>
            </w: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1</w:t>
            </w:r>
            <w:r>
              <w:rPr>
                <w:rFonts w:hint="default" w:ascii="宋体" w:hAnsi="宋体" w:eastAsia="宋体" w:cs="宋体"/>
                <w:kern w:val="2"/>
                <w:sz w:val="24"/>
                <w:szCs w:val="24"/>
                <w:highlight w:val="none"/>
                <w:lang w:val="en-US" w:eastAsia="zh-CN" w:bidi="ar-SA"/>
              </w:rPr>
              <w:t>5分，中得6-</w:t>
            </w:r>
            <w:r>
              <w:rPr>
                <w:rFonts w:hint="eastAsia" w:ascii="宋体" w:hAnsi="宋体" w:eastAsia="宋体" w:cs="宋体"/>
                <w:kern w:val="2"/>
                <w:sz w:val="24"/>
                <w:szCs w:val="24"/>
                <w:highlight w:val="none"/>
                <w:lang w:val="en-US" w:eastAsia="zh-CN" w:bidi="ar-SA"/>
              </w:rPr>
              <w:t>1</w:t>
            </w:r>
            <w:r>
              <w:rPr>
                <w:rFonts w:hint="default" w:ascii="宋体" w:hAnsi="宋体" w:eastAsia="宋体" w:cs="宋体"/>
                <w:kern w:val="2"/>
                <w:sz w:val="24"/>
                <w:szCs w:val="24"/>
                <w:highlight w:val="none"/>
                <w:lang w:val="en-US" w:eastAsia="zh-CN" w:bidi="ar-SA"/>
              </w:rPr>
              <w:t>0分，差得1-5分。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6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22</w:t>
            </w:r>
          </w:p>
        </w:tc>
        <w:tc>
          <w:tcPr>
            <w:tcW w:w="148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样片质量</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2</w:t>
            </w:r>
            <w:r>
              <w:rPr>
                <w:rFonts w:hint="default" w:ascii="宋体" w:hAnsi="宋体" w:eastAsia="宋体" w:cs="宋体"/>
                <w:kern w:val="2"/>
                <w:sz w:val="24"/>
                <w:szCs w:val="24"/>
                <w:highlight w:val="none"/>
                <w:lang w:val="en-US" w:eastAsia="zh-CN" w:bidi="ar-SA"/>
              </w:rPr>
              <w:t>0分）</w:t>
            </w:r>
          </w:p>
        </w:tc>
        <w:tc>
          <w:tcPr>
            <w:tcW w:w="722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供应商提供撰稿人自2018年以来制作的市级相关部门的视频脚本。评委从以往作品是否</w:t>
            </w:r>
            <w:r>
              <w:rPr>
                <w:rFonts w:hint="eastAsia" w:ascii="宋体" w:hAnsi="宋体" w:eastAsia="宋体" w:cs="宋体"/>
                <w:kern w:val="2"/>
                <w:sz w:val="24"/>
                <w:szCs w:val="24"/>
                <w:highlight w:val="none"/>
                <w:lang w:val="en-US" w:eastAsia="zh-CN" w:bidi="ar-SA"/>
              </w:rPr>
              <w:t>主题鲜明、构思新颖、叙述连贯、过渡自然、感染力强</w:t>
            </w:r>
            <w:r>
              <w:rPr>
                <w:rFonts w:hint="default" w:ascii="宋体" w:hAnsi="宋体" w:eastAsia="宋体" w:cs="宋体"/>
                <w:kern w:val="2"/>
                <w:sz w:val="24"/>
                <w:szCs w:val="24"/>
                <w:highlight w:val="none"/>
                <w:lang w:val="en-US" w:eastAsia="zh-CN" w:bidi="ar-SA"/>
              </w:rPr>
              <w:t>的角度横向比较，优得22-30分，良得15-21分，中得8-14分，差得1-7分。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6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33</w:t>
            </w:r>
          </w:p>
        </w:tc>
        <w:tc>
          <w:tcPr>
            <w:tcW w:w="148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业绩评价</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3</w:t>
            </w:r>
            <w:r>
              <w:rPr>
                <w:rFonts w:hint="default" w:ascii="宋体" w:hAnsi="宋体" w:eastAsia="宋体" w:cs="宋体"/>
                <w:kern w:val="2"/>
                <w:sz w:val="24"/>
                <w:szCs w:val="24"/>
                <w:highlight w:val="none"/>
                <w:lang w:val="en-US" w:eastAsia="zh-CN" w:bidi="ar-SA"/>
              </w:rPr>
              <w:t>0分）</w:t>
            </w:r>
          </w:p>
        </w:tc>
        <w:tc>
          <w:tcPr>
            <w:tcW w:w="722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供应商</w:t>
            </w:r>
            <w:r>
              <w:rPr>
                <w:rFonts w:hint="eastAsia" w:ascii="宋体" w:hAnsi="宋体" w:eastAsia="宋体" w:cs="宋体"/>
                <w:kern w:val="2"/>
                <w:sz w:val="24"/>
                <w:szCs w:val="24"/>
                <w:highlight w:val="none"/>
                <w:lang w:val="en-US" w:eastAsia="zh-CN" w:bidi="ar-SA"/>
              </w:rPr>
              <w:t>业绩评价分最高30分。具有三年内市级以上党委</w:t>
            </w:r>
            <w:bookmarkStart w:id="16" w:name="_GoBack"/>
            <w:bookmarkEnd w:id="16"/>
            <w:r>
              <w:rPr>
                <w:rFonts w:hint="eastAsia" w:ascii="宋体" w:hAnsi="宋体" w:eastAsia="宋体" w:cs="宋体"/>
                <w:kern w:val="2"/>
                <w:sz w:val="24"/>
                <w:szCs w:val="24"/>
                <w:highlight w:val="none"/>
                <w:lang w:val="en-US" w:eastAsia="zh-CN" w:bidi="ar-SA"/>
              </w:rPr>
              <w:t>政府部门项目拍摄制作经验的，每有一项得5分。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6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44</w:t>
            </w:r>
          </w:p>
        </w:tc>
        <w:tc>
          <w:tcPr>
            <w:tcW w:w="148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售后服务及团队</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（10分）</w:t>
            </w:r>
          </w:p>
        </w:tc>
        <w:tc>
          <w:tcPr>
            <w:tcW w:w="722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具备本地化服务能力（在南通及所辖县&lt;市&gt;区有办事机构）、配备分工明确的专业项目团队且能提供即时修改完善服务的，得10分。</w:t>
            </w:r>
          </w:p>
        </w:tc>
      </w:tr>
    </w:tbl>
    <w:p>
      <w:pPr>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以上材料均需提供证明材料，复印件加盖公章，原件备查。参选人自行承担复印件与原件不一致的后果。</w:t>
      </w:r>
    </w:p>
    <w:p>
      <w:pPr>
        <w:spacing w:line="420" w:lineRule="exact"/>
        <w:ind w:firstLine="480" w:firstLineChars="200"/>
        <w:rPr>
          <w:rFonts w:ascii="宋体" w:hAnsi="宋体" w:eastAsia="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sz w:val="24"/>
          <w:szCs w:val="24"/>
          <w:highlight w:val="none"/>
          <w:lang w:val="en-US" w:eastAsia="zh-CN"/>
        </w:rPr>
        <w:t>商务报价分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p>
      <w:pPr>
        <w:snapToGrid w:val="0"/>
        <w:spacing w:line="42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（1）本次项目最高限价：4.2万元；超过限价作无效标处理。</w:t>
      </w:r>
    </w:p>
    <w:p>
      <w:pPr>
        <w:snapToGrid w:val="0"/>
        <w:spacing w:line="42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（2）满足磋商文件要求且最后报价最低的供应商的价格为磋商基准价，其商务报价分为满分。其他供应商的商务报价分统一按照下列公式计算：</w:t>
      </w:r>
    </w:p>
    <w:p>
      <w:pPr>
        <w:snapToGrid w:val="0"/>
        <w:spacing w:line="42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商务报价分 =（磋商基准价/最后磋商报价）×20%×100</w:t>
      </w:r>
    </w:p>
    <w:p>
      <w:pPr>
        <w:snapToGrid w:val="0"/>
        <w:spacing w:line="420" w:lineRule="exact"/>
        <w:ind w:firstLine="482" w:firstLineChars="200"/>
        <w:rPr>
          <w:rFonts w:ascii="宋体" w:hAnsi="宋体" w:eastAsia="宋体" w:cs="宋体"/>
          <w:b/>
          <w:bCs/>
          <w:sz w:val="24"/>
          <w:szCs w:val="24"/>
          <w:highlight w:val="none"/>
        </w:rPr>
      </w:pPr>
      <w:bookmarkStart w:id="8" w:name="_Hlk67169510"/>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关于落实政府采购政策的中小微企业价格评审</w:t>
      </w:r>
      <w:bookmarkEnd w:id="8"/>
    </w:p>
    <w:p>
      <w:pPr>
        <w:spacing w:line="420" w:lineRule="exact"/>
        <w:rPr>
          <w:rFonts w:ascii="宋体" w:hAnsi="宋体" w:eastAsia="宋体" w:cs="宋体"/>
          <w:b/>
          <w:bCs/>
          <w:sz w:val="24"/>
          <w:szCs w:val="24"/>
          <w:highlight w:val="none"/>
        </w:rPr>
      </w:pPr>
      <w:bookmarkStart w:id="9" w:name="_Hlk67609383"/>
      <w:r>
        <w:rPr>
          <w:rFonts w:hint="eastAsia" w:ascii="宋体" w:hAnsi="宋体" w:eastAsia="宋体" w:cs="宋体"/>
          <w:b/>
          <w:bCs/>
          <w:sz w:val="24"/>
          <w:szCs w:val="24"/>
          <w:highlight w:val="none"/>
        </w:rPr>
        <w:t>（1）对符合要求的响应供应商的报价给予6%（疫情防控期间，按照苏财购[2020]19号及通财购[2020]6号文件规定，以10%执行。）的扣除价格，用扣除后的价格参与评审，如果成交，则以其竞争性磋商响应报价作为成交价。</w:t>
      </w:r>
    </w:p>
    <w:p>
      <w:pPr>
        <w:spacing w:line="42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（2） 参加本次政府采购活动，符合要求的响应供应商须严格按《政府采购促进中小企业发展管理办法》（财库﹝2020﹞46 号）的文件要求，出具填报“中小企业声明函”（格式见第八章）；</w:t>
      </w:r>
    </w:p>
    <w:p>
      <w:pPr>
        <w:spacing w:line="42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（3）企业标准请参照《关于印发中小企业划型标准规定的通知》（工信部联企业[2011]300号）文件规定自行填写。</w:t>
      </w:r>
    </w:p>
    <w:p>
      <w:pPr>
        <w:spacing w:line="42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（4）若响应供应商提供的 “中小企业声明函”内容不实的，属于提供虚假材料谋取成交；响应供应商的该行为将报请政府采购监管的财政部门按《中华人民共和国政府采购法》第七十七条的规定处理并给予行政处罚。</w:t>
      </w:r>
    </w:p>
    <w:p>
      <w:pPr>
        <w:snapToGrid w:val="0"/>
        <w:spacing w:line="420" w:lineRule="exact"/>
        <w:rPr>
          <w:rFonts w:ascii="宋体" w:hAnsi="宋体" w:eastAsia="宋体" w:cs="宋体"/>
          <w:sz w:val="24"/>
          <w:szCs w:val="24"/>
          <w:highlight w:val="none"/>
        </w:rPr>
      </w:pPr>
      <w:r>
        <w:rPr>
          <w:rFonts w:hint="eastAsia" w:ascii="宋体" w:hAnsi="宋体" w:eastAsia="宋体" w:cs="宋体"/>
          <w:b/>
          <w:bCs/>
          <w:sz w:val="24"/>
          <w:szCs w:val="24"/>
          <w:highlight w:val="none"/>
        </w:rPr>
        <w:t>（5）</w:t>
      </w:r>
      <w:bookmarkStart w:id="10" w:name="_Hlk67486961"/>
      <w:r>
        <w:rPr>
          <w:rFonts w:hint="eastAsia" w:ascii="宋体" w:hAnsi="宋体" w:eastAsia="宋体" w:cs="宋体"/>
          <w:b/>
          <w:bCs/>
          <w:sz w:val="24"/>
          <w:szCs w:val="24"/>
          <w:highlight w:val="none"/>
          <w:u w:val="thick" w:color="FF0000"/>
        </w:rPr>
        <w:t>不符合上述要求的响应供应商，无须提供“中小企业声明函”</w:t>
      </w:r>
      <w:r>
        <w:rPr>
          <w:rFonts w:hint="eastAsia" w:ascii="宋体" w:hAnsi="宋体" w:eastAsia="宋体" w:cs="宋体"/>
          <w:b/>
          <w:bCs/>
          <w:sz w:val="24"/>
          <w:szCs w:val="24"/>
          <w:highlight w:val="none"/>
        </w:rPr>
        <w:t>。</w:t>
      </w:r>
      <w:bookmarkEnd w:id="9"/>
      <w:bookmarkEnd w:id="10"/>
    </w:p>
    <w:p>
      <w:pPr>
        <w:snapToGrid w:val="0"/>
        <w:spacing w:line="420" w:lineRule="exact"/>
        <w:ind w:firstLine="484" w:firstLineChars="202"/>
        <w:outlineLvl w:val="3"/>
        <w:rPr>
          <w:rFonts w:ascii="宋体" w:hAnsi="宋体" w:eastAsia="宋体"/>
          <w:color w:val="auto"/>
          <w:sz w:val="24"/>
          <w:szCs w:val="24"/>
          <w:highlight w:val="none"/>
        </w:rPr>
      </w:pP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评标磋商时磋商小组评委成员对评标磋商细则若有争议，由磋商小组评委成员集体讨论确定并对未尽情况有最终解释权。磋商小组评委成员对需要共同认定的事项存在争议的，应当按照少数服从多数的原则作出结论。持不同意见的磋商小组评委成员应当在评标磋商报告上签署不同意见及理由，否则视为同意评标磋商报告。</w:t>
      </w:r>
    </w:p>
    <w:p>
      <w:pPr>
        <w:snapToGrid w:val="0"/>
        <w:spacing w:line="420" w:lineRule="exact"/>
        <w:ind w:firstLine="525" w:firstLineChars="202"/>
        <w:outlineLvl w:val="3"/>
        <w:rPr>
          <w:rFonts w:ascii="宋体" w:hAnsi="宋体" w:eastAsia="宋体"/>
          <w:color w:val="auto"/>
          <w:highlight w:val="none"/>
        </w:rPr>
      </w:pPr>
      <w:r>
        <w:rPr>
          <w:rFonts w:hint="eastAsia" w:ascii="宋体" w:hAnsi="宋体" w:eastAsia="宋体" w:cs="宋体"/>
          <w:color w:val="auto"/>
          <w:highlight w:val="none"/>
          <w:lang w:val="en-US" w:eastAsia="zh-CN"/>
        </w:rPr>
        <w:t>5</w:t>
      </w:r>
      <w:r>
        <w:rPr>
          <w:rFonts w:ascii="宋体" w:hAnsi="宋体" w:eastAsia="宋体" w:cs="宋体"/>
          <w:color w:val="auto"/>
          <w:highlight w:val="none"/>
        </w:rPr>
        <w:t>.</w:t>
      </w:r>
      <w:r>
        <w:rPr>
          <w:rFonts w:hint="eastAsia" w:ascii="宋体" w:hAnsi="宋体" w:eastAsia="宋体" w:cs="宋体"/>
          <w:color w:val="auto"/>
          <w:highlight w:val="none"/>
        </w:rPr>
        <w:t>对落标的磋商响应供应商不做落标原因的解释。</w:t>
      </w:r>
      <w:bookmarkEnd w:id="7"/>
    </w:p>
    <w:p>
      <w:pPr>
        <w:snapToGrid w:val="0"/>
        <w:spacing w:line="420" w:lineRule="exact"/>
        <w:ind w:firstLine="487" w:firstLineChars="202"/>
        <w:outlineLvl w:val="3"/>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六、出现下列情形之一的，作无效磋商处理</w:t>
      </w:r>
    </w:p>
    <w:p>
      <w:pPr>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磋商响应文件未按规定要求装订、密封、签署、盖章及资料不齐全的；</w:t>
      </w:r>
    </w:p>
    <w:p>
      <w:pPr>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磋商响应文件的资料有虚报或者谎报的；</w:t>
      </w:r>
    </w:p>
    <w:p>
      <w:pPr>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不具备磋商文件规定的资格要求的；</w:t>
      </w:r>
    </w:p>
    <w:p>
      <w:pPr>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磋商响应文件有重大漏项或重大不合理的；</w:t>
      </w:r>
    </w:p>
    <w:p>
      <w:pPr>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项目技术、方案不满足项目需求中的要求，有重大偏离或保留的；</w:t>
      </w:r>
    </w:p>
    <w:p>
      <w:pPr>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未按要求提供原件的</w:t>
      </w:r>
      <w:r>
        <w:rPr>
          <w:rFonts w:hint="eastAsia" w:ascii="宋体" w:hAnsi="宋体" w:eastAsia="宋体" w:cs="宋体"/>
          <w:color w:val="auto"/>
          <w:sz w:val="24"/>
          <w:szCs w:val="24"/>
          <w:highlight w:val="none"/>
        </w:rPr>
        <w:t>；</w:t>
      </w:r>
    </w:p>
    <w:p>
      <w:pPr>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7</w:t>
      </w:r>
      <w:r>
        <w:rPr>
          <w:rFonts w:hint="eastAsia" w:ascii="宋体" w:hAnsi="宋体" w:eastAsia="宋体" w:cs="宋体"/>
          <w:color w:val="auto"/>
          <w:sz w:val="24"/>
          <w:szCs w:val="24"/>
          <w:highlight w:val="none"/>
        </w:rPr>
        <w:t>不符合法律、法规和竞争性磋商文件中规定的实质性响应要求的；</w:t>
      </w:r>
    </w:p>
    <w:p>
      <w:pPr>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8.</w:t>
      </w:r>
      <w:r>
        <w:rPr>
          <w:rFonts w:hint="eastAsia" w:ascii="宋体" w:hAnsi="宋体" w:eastAsia="宋体" w:cs="宋体"/>
          <w:color w:val="auto"/>
          <w:sz w:val="24"/>
          <w:szCs w:val="24"/>
          <w:highlight w:val="none"/>
        </w:rPr>
        <w:t>磋商小组认定为其他情况可确定为无效投标的。</w:t>
      </w:r>
    </w:p>
    <w:p>
      <w:pPr>
        <w:snapToGrid w:val="0"/>
        <w:spacing w:line="420" w:lineRule="exact"/>
        <w:ind w:firstLine="482" w:firstLineChars="200"/>
        <w:outlineLvl w:val="1"/>
        <w:rPr>
          <w:rFonts w:ascii="宋体" w:hAnsi="宋体" w:eastAsia="宋体"/>
          <w:color w:val="auto"/>
          <w:sz w:val="24"/>
          <w:szCs w:val="24"/>
          <w:highlight w:val="none"/>
        </w:rPr>
      </w:pPr>
      <w:r>
        <w:rPr>
          <w:rFonts w:hint="eastAsia" w:ascii="宋体" w:hAnsi="宋体" w:eastAsia="宋体" w:cs="宋体"/>
          <w:b/>
          <w:bCs/>
          <w:color w:val="auto"/>
          <w:sz w:val="24"/>
          <w:szCs w:val="24"/>
          <w:highlight w:val="none"/>
        </w:rPr>
        <w:t>七、有下列情形之一的，视为磋商响应供应商串通竞标，其磋商无效</w:t>
      </w:r>
    </w:p>
    <w:p>
      <w:pPr>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不同磋商响应供应商的磋商响应文件由同一单位或者个人编制；</w:t>
      </w:r>
    </w:p>
    <w:p>
      <w:pPr>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不同磋商响应供应商委托同一单位或者个人办理磋商竞标事宜；</w:t>
      </w:r>
    </w:p>
    <w:p>
      <w:pPr>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不同磋商响应供应商的磋商响应文件载明的项目管理成员或者联系人员为同一人；</w:t>
      </w:r>
    </w:p>
    <w:p>
      <w:pPr>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不同磋商响应供应商的磋商响应文件异常一致或者首次、二次（最终）报价呈规律性差异；</w:t>
      </w:r>
    </w:p>
    <w:p>
      <w:pPr>
        <w:snapToGrid w:val="0"/>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不同磋商响应供应商的磋商响应文件相互混装。</w:t>
      </w:r>
    </w:p>
    <w:p>
      <w:pPr>
        <w:snapToGrid w:val="0"/>
        <w:spacing w:line="420" w:lineRule="exact"/>
        <w:ind w:firstLine="487" w:firstLineChars="202"/>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八、出现下列情形之一的，</w:t>
      </w:r>
      <w:r>
        <w:rPr>
          <w:rFonts w:hint="eastAsia" w:ascii="宋体" w:hAnsi="宋体" w:eastAsia="宋体" w:cs="宋体"/>
          <w:b/>
          <w:bCs/>
          <w:color w:val="auto"/>
          <w:spacing w:val="4"/>
          <w:sz w:val="24"/>
          <w:szCs w:val="24"/>
          <w:highlight w:val="none"/>
          <w:shd w:val="clear" w:color="auto" w:fill="FFFFFF"/>
        </w:rPr>
        <w:t>采购人或者采购代理机构应当终止竞争性磋商采购活动，发布项目终止公告并说明原因，重新开展采购活动：</w:t>
      </w:r>
      <w:r>
        <w:rPr>
          <w:rFonts w:ascii="宋体" w:hAnsi="宋体" w:eastAsia="宋体" w:cs="宋体"/>
          <w:b/>
          <w:bCs/>
          <w:color w:val="auto"/>
          <w:sz w:val="24"/>
          <w:szCs w:val="24"/>
          <w:highlight w:val="none"/>
        </w:rPr>
        <w:t xml:space="preserve"> </w:t>
      </w:r>
    </w:p>
    <w:p>
      <w:pPr>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因情况变化，不再符合规定的竞争性磋商采购方式所适用情形的；</w:t>
      </w:r>
    </w:p>
    <w:p>
      <w:pPr>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所有磋商响应供应商报价超出采购预算价的；</w:t>
      </w:r>
    </w:p>
    <w:p>
      <w:pPr>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出现影响采购公正的违法、违规行为的；</w:t>
      </w:r>
    </w:p>
    <w:p>
      <w:pPr>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因重大变故，采购任务取消的。</w:t>
      </w:r>
    </w:p>
    <w:p>
      <w:pPr>
        <w:snapToGrid w:val="0"/>
        <w:spacing w:line="420" w:lineRule="exact"/>
        <w:ind w:firstLine="487" w:firstLineChars="202"/>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九、成交通知</w:t>
      </w:r>
    </w:p>
    <w:p>
      <w:pPr>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竞争性磋商结束后，采购人或者采购代理机构将成交结果在指定媒体上发布，公告</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个工作日；</w:t>
      </w:r>
    </w:p>
    <w:p>
      <w:pPr>
        <w:spacing w:line="420" w:lineRule="exact"/>
        <w:ind w:firstLine="484" w:firstLineChars="202"/>
        <w:rPr>
          <w:rFonts w:ascii="宋体" w:hAnsi="宋体" w:eastAsia="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成交结果公告的有效期限为</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个工作日，期限结束后向成交人发出《成交通知书》。</w:t>
      </w:r>
    </w:p>
    <w:p>
      <w:pPr>
        <w:spacing w:line="420" w:lineRule="exact"/>
        <w:ind w:firstLine="484" w:firstLineChars="202"/>
        <w:rPr>
          <w:rFonts w:hint="eastAsia" w:ascii="宋体" w:hAnsi="宋体" w:eastAsia="宋体" w:cs="宋体"/>
          <w:b/>
          <w:bCs/>
          <w:color w:val="auto"/>
          <w:w w:val="80"/>
          <w:sz w:val="36"/>
          <w:szCs w:val="36"/>
          <w:highlight w:val="none"/>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《成交通知书》一经发出，即具有法律效力。采购人、成交人依法承担法律责任。</w:t>
      </w:r>
    </w:p>
    <w:p>
      <w:pPr>
        <w:tabs>
          <w:tab w:val="left" w:pos="1050"/>
          <w:tab w:val="right" w:leader="dot" w:pos="9402"/>
        </w:tabs>
        <w:spacing w:beforeLines="100" w:line="600" w:lineRule="exact"/>
        <w:jc w:val="center"/>
        <w:outlineLvl w:val="0"/>
        <w:rPr>
          <w:rFonts w:ascii="宋体" w:hAnsi="宋体" w:eastAsia="宋体"/>
          <w:b/>
          <w:bCs/>
          <w:color w:val="auto"/>
          <w:w w:val="80"/>
          <w:sz w:val="30"/>
          <w:szCs w:val="30"/>
          <w:highlight w:val="none"/>
        </w:rPr>
      </w:pPr>
      <w:r>
        <w:rPr>
          <w:rFonts w:hint="eastAsia" w:ascii="宋体" w:hAnsi="宋体" w:eastAsia="宋体" w:cs="宋体"/>
          <w:b/>
          <w:bCs/>
          <w:color w:val="auto"/>
          <w:w w:val="80"/>
          <w:sz w:val="36"/>
          <w:szCs w:val="36"/>
          <w:highlight w:val="none"/>
        </w:rPr>
        <w:t>第五章</w:t>
      </w:r>
      <w:r>
        <w:rPr>
          <w:rFonts w:ascii="宋体" w:hAnsi="宋体" w:eastAsia="宋体" w:cs="宋体"/>
          <w:b/>
          <w:bCs/>
          <w:color w:val="auto"/>
          <w:w w:val="80"/>
          <w:sz w:val="36"/>
          <w:szCs w:val="36"/>
          <w:highlight w:val="none"/>
        </w:rPr>
        <w:t xml:space="preserve">  </w:t>
      </w:r>
      <w:r>
        <w:rPr>
          <w:rFonts w:hint="eastAsia" w:ascii="宋体" w:hAnsi="宋体" w:eastAsia="宋体" w:cs="宋体"/>
          <w:b/>
          <w:bCs/>
          <w:color w:val="auto"/>
          <w:w w:val="80"/>
          <w:sz w:val="36"/>
          <w:szCs w:val="36"/>
          <w:highlight w:val="none"/>
        </w:rPr>
        <w:t>合同授予</w:t>
      </w:r>
      <w:bookmarkStart w:id="11" w:name="_Toc94585343"/>
      <w:bookmarkStart w:id="12" w:name="_Toc363573858"/>
      <w:r>
        <w:rPr>
          <w:rFonts w:hint="eastAsia" w:ascii="宋体" w:hAnsi="宋体" w:eastAsia="宋体" w:cs="宋体"/>
          <w:b/>
          <w:bCs/>
          <w:color w:val="auto"/>
          <w:w w:val="80"/>
          <w:sz w:val="36"/>
          <w:szCs w:val="36"/>
          <w:highlight w:val="none"/>
        </w:rPr>
        <w:t>及主要条款</w:t>
      </w:r>
    </w:p>
    <w:p>
      <w:pPr>
        <w:spacing w:line="420" w:lineRule="exact"/>
        <w:ind w:firstLine="484" w:firstLineChars="202"/>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一、中标人在接到采购代理机构发出送达的《成交通知书》后</w:t>
      </w:r>
      <w:r>
        <w:rPr>
          <w:rFonts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rPr>
        <w:t>日内与采购人签订政府采购合同（一式肆份，采购人、成交人各执两份），所签合同不得对磋商文件作实质性修改，由此给采购人造成损失的，中标人还应承担赔偿责任。采购人不得向中标人提出不合理的要求作为签订合同的条件，不得与中标人私下订立背离谈判文件实质性内容的协议。</w:t>
      </w:r>
    </w:p>
    <w:p>
      <w:pPr>
        <w:spacing w:line="420" w:lineRule="exact"/>
        <w:ind w:firstLine="484" w:firstLineChars="202"/>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二、磋商文件、中标人的磋商响应文件及磋商评审过程中有关书面澄清、承诺等均应作为合同附件，具有同等的法律效力。</w:t>
      </w:r>
    </w:p>
    <w:p>
      <w:pPr>
        <w:spacing w:line="420" w:lineRule="exact"/>
        <w:ind w:firstLine="484" w:firstLineChars="202"/>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三、中标人不得采用转包、分包的形式履行合同，否则，采购人有权终止合同，造成采购人损失的，中标人应承担相应赔偿责任。</w:t>
      </w:r>
    </w:p>
    <w:p>
      <w:pPr>
        <w:snapToGrid w:val="0"/>
        <w:spacing w:line="420" w:lineRule="exact"/>
        <w:ind w:firstLine="484" w:firstLineChars="202"/>
        <w:outlineLvl w:val="1"/>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四、双方签订的合同中应明确规定双方应当严格遵守国家有关廉政建设的相关规定。</w:t>
      </w:r>
    </w:p>
    <w:p>
      <w:pPr>
        <w:tabs>
          <w:tab w:val="left" w:pos="1050"/>
          <w:tab w:val="right" w:leader="dot" w:pos="9402"/>
        </w:tabs>
        <w:spacing w:beforeLines="100" w:line="600" w:lineRule="exact"/>
        <w:jc w:val="center"/>
        <w:outlineLvl w:val="0"/>
        <w:rPr>
          <w:rFonts w:hint="eastAsia" w:ascii="宋体" w:hAnsi="宋体" w:eastAsia="宋体" w:cs="宋体"/>
          <w:b/>
          <w:bCs/>
          <w:color w:val="auto"/>
          <w:w w:val="80"/>
          <w:sz w:val="36"/>
          <w:szCs w:val="36"/>
          <w:highlight w:val="none"/>
        </w:rPr>
      </w:pPr>
    </w:p>
    <w:p>
      <w:pPr>
        <w:tabs>
          <w:tab w:val="left" w:pos="1050"/>
          <w:tab w:val="right" w:leader="dot" w:pos="9402"/>
        </w:tabs>
        <w:spacing w:beforeLines="100" w:line="600" w:lineRule="exact"/>
        <w:jc w:val="center"/>
        <w:outlineLvl w:val="0"/>
        <w:rPr>
          <w:rFonts w:ascii="宋体" w:hAnsi="宋体" w:eastAsia="宋体"/>
          <w:b/>
          <w:bCs/>
          <w:color w:val="auto"/>
          <w:w w:val="80"/>
          <w:sz w:val="36"/>
          <w:szCs w:val="36"/>
          <w:highlight w:val="none"/>
        </w:rPr>
      </w:pPr>
      <w:r>
        <w:rPr>
          <w:rFonts w:hint="eastAsia" w:ascii="宋体" w:hAnsi="宋体" w:eastAsia="宋体" w:cs="宋体"/>
          <w:b/>
          <w:bCs/>
          <w:color w:val="auto"/>
          <w:w w:val="80"/>
          <w:sz w:val="36"/>
          <w:szCs w:val="36"/>
          <w:highlight w:val="none"/>
        </w:rPr>
        <w:t>第六章</w:t>
      </w:r>
      <w:r>
        <w:rPr>
          <w:rFonts w:ascii="宋体" w:hAnsi="宋体" w:eastAsia="宋体" w:cs="宋体"/>
          <w:b/>
          <w:bCs/>
          <w:color w:val="auto"/>
          <w:w w:val="80"/>
          <w:sz w:val="36"/>
          <w:szCs w:val="36"/>
          <w:highlight w:val="none"/>
        </w:rPr>
        <w:t xml:space="preserve">  </w:t>
      </w:r>
      <w:bookmarkEnd w:id="11"/>
      <w:r>
        <w:rPr>
          <w:rFonts w:hint="eastAsia" w:ascii="宋体" w:hAnsi="宋体" w:eastAsia="宋体" w:cs="宋体"/>
          <w:b/>
          <w:bCs/>
          <w:color w:val="auto"/>
          <w:w w:val="80"/>
          <w:sz w:val="36"/>
          <w:szCs w:val="36"/>
          <w:highlight w:val="none"/>
        </w:rPr>
        <w:t>履约验收及付款</w:t>
      </w:r>
      <w:bookmarkEnd w:id="12"/>
    </w:p>
    <w:p>
      <w:pPr>
        <w:spacing w:line="420" w:lineRule="exact"/>
        <w:ind w:firstLine="484" w:firstLineChars="202"/>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一、采购人和成交人应相互配合，按采购合同约定积极组织本项目的实施，确保按时履约提供服务。</w:t>
      </w:r>
    </w:p>
    <w:p>
      <w:pPr>
        <w:spacing w:line="420" w:lineRule="exact"/>
        <w:ind w:firstLine="484" w:firstLineChars="202"/>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二、履约完成后，成交人应以书面形式向采购人提出验收申请，采购人接到申请后应及时组织验收。</w:t>
      </w:r>
    </w:p>
    <w:p>
      <w:pPr>
        <w:spacing w:line="420" w:lineRule="exact"/>
        <w:ind w:firstLine="484" w:firstLineChars="202"/>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三、采购人、成交人不按政府采购合同规定履约，出现违约情形，应当及时纠正或补偿，造成损失的，按合同约定追究违约责任；履约中发现有假冒、伪劣、走私产品、</w:t>
      </w:r>
      <w:r>
        <w:rPr>
          <w:rFonts w:hint="eastAsia" w:ascii="宋体" w:hAnsi="宋体" w:eastAsia="宋体" w:cs="宋体"/>
          <w:color w:val="auto"/>
          <w:kern w:val="0"/>
          <w:sz w:val="24"/>
          <w:szCs w:val="24"/>
          <w:highlight w:val="none"/>
          <w:lang w:val="en-US" w:eastAsia="zh-CN"/>
        </w:rPr>
        <w:t>版权泄露、</w:t>
      </w:r>
      <w:r>
        <w:rPr>
          <w:rFonts w:hint="eastAsia" w:ascii="宋体" w:hAnsi="宋体" w:eastAsia="宋体" w:cs="宋体"/>
          <w:color w:val="auto"/>
          <w:kern w:val="0"/>
          <w:sz w:val="24"/>
          <w:szCs w:val="24"/>
          <w:highlight w:val="none"/>
        </w:rPr>
        <w:t>商业贿赂等违法情形的，应由采购人移交工商、质监、公安等行政执法部门依法查处。</w:t>
      </w:r>
    </w:p>
    <w:p>
      <w:pPr>
        <w:spacing w:line="420" w:lineRule="exact"/>
        <w:ind w:firstLine="484" w:firstLineChars="202"/>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四、按采购合同约定的支付方式，及时支付服务款项。</w:t>
      </w:r>
    </w:p>
    <w:bookmarkEnd w:id="6"/>
    <w:p>
      <w:pPr>
        <w:rPr>
          <w:color w:val="auto"/>
          <w:highlight w:val="none"/>
        </w:rPr>
      </w:pPr>
      <w:bookmarkStart w:id="13" w:name="_Toc363573859"/>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48"/>
        <w:spacing w:before="120"/>
        <w:ind w:firstLine="600"/>
        <w:rPr>
          <w:rFonts w:cs="Times New Roman"/>
          <w:color w:val="auto"/>
          <w:highlight w:val="none"/>
        </w:rPr>
      </w:pPr>
    </w:p>
    <w:p>
      <w:pPr>
        <w:pStyle w:val="48"/>
        <w:spacing w:before="120"/>
        <w:ind w:firstLine="600"/>
        <w:rPr>
          <w:rFonts w:cs="Times New Roman"/>
          <w:color w:val="auto"/>
          <w:highlight w:val="none"/>
        </w:rPr>
      </w:pPr>
    </w:p>
    <w:p>
      <w:pPr>
        <w:pStyle w:val="48"/>
        <w:spacing w:before="120"/>
        <w:ind w:firstLine="600"/>
        <w:rPr>
          <w:rFonts w:cs="Times New Roman"/>
          <w:color w:val="auto"/>
          <w:highlight w:val="none"/>
        </w:rPr>
      </w:pPr>
    </w:p>
    <w:p>
      <w:pPr>
        <w:pStyle w:val="48"/>
        <w:spacing w:before="120"/>
        <w:ind w:firstLine="600"/>
        <w:rPr>
          <w:rFonts w:cs="Times New Roman"/>
          <w:color w:val="auto"/>
          <w:highlight w:val="none"/>
        </w:rPr>
      </w:pPr>
    </w:p>
    <w:p>
      <w:pPr>
        <w:pStyle w:val="48"/>
        <w:spacing w:before="120"/>
        <w:ind w:firstLine="600"/>
        <w:rPr>
          <w:rFonts w:cs="Times New Roman"/>
          <w:color w:val="auto"/>
          <w:highlight w:val="none"/>
        </w:rPr>
      </w:pPr>
    </w:p>
    <w:p>
      <w:pPr>
        <w:pStyle w:val="48"/>
        <w:spacing w:before="120"/>
        <w:ind w:firstLine="600"/>
        <w:rPr>
          <w:rFonts w:cs="Times New Roman"/>
          <w:color w:val="auto"/>
          <w:highlight w:val="none"/>
        </w:rPr>
      </w:pPr>
    </w:p>
    <w:p>
      <w:pPr>
        <w:pStyle w:val="48"/>
        <w:spacing w:before="120"/>
        <w:ind w:firstLine="600"/>
        <w:rPr>
          <w:rFonts w:cs="Times New Roman"/>
          <w:color w:val="auto"/>
          <w:highlight w:val="none"/>
        </w:rPr>
      </w:pPr>
    </w:p>
    <w:p>
      <w:pPr>
        <w:pStyle w:val="48"/>
        <w:spacing w:before="120"/>
        <w:ind w:firstLine="600"/>
        <w:rPr>
          <w:rFonts w:cs="Times New Roman"/>
          <w:color w:val="auto"/>
          <w:highlight w:val="none"/>
        </w:rPr>
      </w:pPr>
    </w:p>
    <w:p>
      <w:pPr>
        <w:pStyle w:val="48"/>
        <w:spacing w:before="120"/>
        <w:ind w:firstLine="600"/>
        <w:rPr>
          <w:rFonts w:cs="Times New Roman"/>
          <w:color w:val="auto"/>
          <w:highlight w:val="none"/>
        </w:rPr>
      </w:pPr>
    </w:p>
    <w:p>
      <w:pPr>
        <w:pStyle w:val="48"/>
        <w:spacing w:before="120"/>
        <w:ind w:firstLine="600"/>
        <w:rPr>
          <w:rFonts w:cs="Times New Roman"/>
          <w:color w:val="auto"/>
          <w:highlight w:val="none"/>
        </w:rPr>
      </w:pPr>
    </w:p>
    <w:p>
      <w:pPr>
        <w:pStyle w:val="48"/>
        <w:spacing w:before="120"/>
        <w:ind w:firstLine="600"/>
        <w:rPr>
          <w:rFonts w:cs="Times New Roman"/>
          <w:color w:val="auto"/>
          <w:highlight w:val="none"/>
        </w:rPr>
      </w:pPr>
    </w:p>
    <w:p>
      <w:pPr>
        <w:pStyle w:val="48"/>
        <w:spacing w:before="120"/>
        <w:ind w:firstLine="600"/>
        <w:rPr>
          <w:rFonts w:cs="Times New Roman"/>
          <w:color w:val="auto"/>
          <w:highlight w:val="none"/>
        </w:rPr>
      </w:pPr>
    </w:p>
    <w:p>
      <w:pPr>
        <w:tabs>
          <w:tab w:val="left" w:pos="1050"/>
          <w:tab w:val="right" w:leader="dot" w:pos="9402"/>
        </w:tabs>
        <w:spacing w:beforeLines="100" w:line="600" w:lineRule="exact"/>
        <w:jc w:val="center"/>
        <w:outlineLvl w:val="0"/>
        <w:rPr>
          <w:rFonts w:ascii="宋体" w:hAnsi="宋体" w:eastAsia="宋体"/>
          <w:b/>
          <w:bCs/>
          <w:color w:val="auto"/>
          <w:w w:val="80"/>
          <w:sz w:val="36"/>
          <w:szCs w:val="36"/>
          <w:highlight w:val="none"/>
        </w:rPr>
      </w:pPr>
      <w:r>
        <w:rPr>
          <w:rFonts w:hint="eastAsia" w:ascii="宋体" w:hAnsi="宋体" w:eastAsia="宋体" w:cs="宋体"/>
          <w:b/>
          <w:bCs/>
          <w:color w:val="auto"/>
          <w:w w:val="80"/>
          <w:sz w:val="36"/>
          <w:szCs w:val="36"/>
          <w:highlight w:val="none"/>
        </w:rPr>
        <w:t>第七章</w:t>
      </w:r>
      <w:r>
        <w:rPr>
          <w:rFonts w:ascii="宋体" w:hAnsi="宋体" w:eastAsia="宋体" w:cs="宋体"/>
          <w:b/>
          <w:bCs/>
          <w:color w:val="auto"/>
          <w:w w:val="80"/>
          <w:sz w:val="36"/>
          <w:szCs w:val="36"/>
          <w:highlight w:val="none"/>
        </w:rPr>
        <w:t xml:space="preserve">  </w:t>
      </w:r>
      <w:r>
        <w:rPr>
          <w:rFonts w:hint="eastAsia" w:ascii="宋体" w:hAnsi="宋体" w:eastAsia="宋体" w:cs="宋体"/>
          <w:b/>
          <w:bCs/>
          <w:color w:val="auto"/>
          <w:w w:val="80"/>
          <w:sz w:val="36"/>
          <w:szCs w:val="36"/>
          <w:highlight w:val="none"/>
        </w:rPr>
        <w:t>质疑与投诉</w:t>
      </w:r>
      <w:bookmarkEnd w:id="13"/>
    </w:p>
    <w:p>
      <w:pPr>
        <w:snapToGrid w:val="0"/>
        <w:spacing w:line="420" w:lineRule="exact"/>
        <w:ind w:firstLine="482" w:firstLineChars="200"/>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一、质疑的提出</w:t>
      </w:r>
    </w:p>
    <w:p>
      <w:pPr>
        <w:snapToGrid w:val="0"/>
        <w:spacing w:line="420" w:lineRule="exact"/>
        <w:ind w:firstLine="480" w:firstLineChars="200"/>
        <w:rPr>
          <w:rFonts w:ascii="宋体" w:hAnsi="宋体" w:eastAsia="宋体"/>
          <w:color w:val="auto"/>
          <w:kern w:val="0"/>
          <w:sz w:val="24"/>
          <w:szCs w:val="24"/>
          <w:highlight w:val="none"/>
        </w:rPr>
      </w:pP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质疑必须是直接参加本次招投标活动的当事人。</w:t>
      </w:r>
    </w:p>
    <w:p>
      <w:pPr>
        <w:snapToGrid w:val="0"/>
        <w:spacing w:line="420" w:lineRule="exact"/>
        <w:ind w:firstLine="480" w:firstLineChars="200"/>
        <w:rPr>
          <w:rFonts w:ascii="宋体" w:hAnsi="宋体" w:eastAsia="宋体"/>
          <w:color w:val="auto"/>
          <w:kern w:val="0"/>
          <w:sz w:val="24"/>
          <w:szCs w:val="24"/>
          <w:highlight w:val="none"/>
        </w:rPr>
      </w:pPr>
      <w:r>
        <w:rPr>
          <w:rFonts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rPr>
        <w:t>取得磋商文件的供应商应根据磋商文件第二章</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“供应商须知”中“第一条第</w:t>
      </w:r>
      <w:r>
        <w:rPr>
          <w:rFonts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rPr>
        <w:t>款”的约定提出质疑，磋商响应文件接收截止后未进行磋商登记的供应商，不能就响应文件接收截止后的磋商过程、成交结果提出质疑；在磋商过程中，凡主持人或磋商小组明确提出须由供应商确认的事项，供应商当场无异议的，事后不得提出质疑、投诉。</w:t>
      </w:r>
    </w:p>
    <w:p>
      <w:pPr>
        <w:snapToGrid w:val="0"/>
        <w:spacing w:line="420" w:lineRule="exact"/>
        <w:ind w:firstLine="480" w:firstLineChars="200"/>
        <w:rPr>
          <w:rFonts w:ascii="宋体" w:hAnsi="宋体" w:eastAsia="宋体"/>
          <w:color w:val="auto"/>
          <w:kern w:val="0"/>
          <w:sz w:val="24"/>
          <w:szCs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提出质疑时，必须坚持“谁主张，谁举证”、“实事求是”的原则，不能臆测。属于须由法定部门调查、侦查或先行作出相关认定的事项，质疑人应当依法申请具有法定职权的部门查清、认定，并将相关结果提供给招标采购人、采购单位。招标采购人、采购单位不具有法定调查、认定的权限。</w:t>
      </w:r>
    </w:p>
    <w:p>
      <w:pPr>
        <w:snapToGrid w:val="0"/>
        <w:spacing w:line="420" w:lineRule="exact"/>
        <w:ind w:firstLine="480" w:firstLineChars="200"/>
        <w:rPr>
          <w:rFonts w:ascii="宋体" w:hAnsi="宋体" w:eastAsia="宋体"/>
          <w:color w:val="auto"/>
          <w:kern w:val="0"/>
          <w:sz w:val="24"/>
          <w:szCs w:val="24"/>
          <w:highlight w:val="none"/>
        </w:rPr>
      </w:pPr>
      <w:r>
        <w:rPr>
          <w:rFonts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rPr>
        <w:t>对本次招投标有质疑的，须实名制以书面形式提出，不得进行匿名、虚假、恶意质疑。</w:t>
      </w:r>
    </w:p>
    <w:p>
      <w:pPr>
        <w:snapToGrid w:val="0"/>
        <w:spacing w:line="420" w:lineRule="exact"/>
        <w:ind w:firstLine="480" w:firstLineChars="200"/>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质疑人应在质疑有效期内以书面形式提出《质疑函》，内容应包括质疑事项、主要内容、事实依据、适应法规条款、佐证材料等。同时，质疑人应保证其提出的质疑内容及相关佐证材料的真实性及来源的合法性，并承担相应的法律责任。</w:t>
      </w:r>
    </w:p>
    <w:p>
      <w:pPr>
        <w:snapToGrid w:val="0"/>
        <w:spacing w:line="420" w:lineRule="exact"/>
        <w:ind w:firstLine="480" w:firstLineChars="200"/>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对不能提供相关佐证材料的、涉及商业秘密的、非书面形式的、非送达的、匿名的《质疑函》作无效质疑处理，将不予受理。</w:t>
      </w:r>
    </w:p>
    <w:p>
      <w:pPr>
        <w:snapToGrid w:val="0"/>
        <w:spacing w:line="420" w:lineRule="exact"/>
        <w:ind w:firstLine="480" w:firstLineChars="200"/>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相关佐证材料要具备客观性、关联性、合法性，无法查实的（如宣传册、媒体报道、猜测、推理等）不能作为佐证材料。</w:t>
      </w:r>
    </w:p>
    <w:p>
      <w:pPr>
        <w:snapToGrid w:val="0"/>
        <w:spacing w:line="420" w:lineRule="exact"/>
        <w:ind w:firstLine="480" w:firstLineChars="200"/>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采购人、采购代理机构不负责搜集相关佐证材料等工作。</w:t>
      </w:r>
    </w:p>
    <w:p>
      <w:pPr>
        <w:snapToGrid w:val="0"/>
        <w:spacing w:line="420" w:lineRule="exact"/>
        <w:ind w:firstLine="482" w:firstLineChars="200"/>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二、《质疑函》的受理和回复</w:t>
      </w:r>
    </w:p>
    <w:p>
      <w:pPr>
        <w:snapToGrid w:val="0"/>
        <w:spacing w:line="420" w:lineRule="exact"/>
        <w:ind w:firstLine="480" w:firstLineChars="200"/>
        <w:rPr>
          <w:rFonts w:ascii="宋体" w:hAnsi="宋体" w:eastAsia="宋体"/>
          <w:color w:val="auto"/>
          <w:kern w:val="0"/>
          <w:sz w:val="24"/>
          <w:szCs w:val="24"/>
          <w:highlight w:val="none"/>
        </w:rPr>
      </w:pP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《质疑函》须由质疑人的法定代表人或参加本次招标的委托代理人送达采购人和采购代理机构。</w:t>
      </w:r>
    </w:p>
    <w:p>
      <w:pPr>
        <w:snapToGrid w:val="0"/>
        <w:spacing w:line="420" w:lineRule="exact"/>
        <w:ind w:firstLine="480" w:firstLineChars="200"/>
        <w:rPr>
          <w:rFonts w:ascii="宋体" w:hAnsi="宋体" w:eastAsia="宋体"/>
          <w:color w:val="auto"/>
          <w:kern w:val="0"/>
          <w:sz w:val="24"/>
          <w:szCs w:val="24"/>
          <w:highlight w:val="none"/>
        </w:rPr>
      </w:pPr>
      <w:r>
        <w:rPr>
          <w:rFonts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rPr>
        <w:t>对符合提出质疑要求的，采购人签收并出具《质疑受理通知书》并在</w:t>
      </w:r>
      <w:r>
        <w:rPr>
          <w:rFonts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rPr>
        <w:t>个工作日内以书面形式答复质疑人。在处理过程中，发现需要质疑人进一步补充相关佐证材料的，请质疑人在规定的时间内提供，质疑答复时间相应顺延。质疑人不能按时提供相关佐证材料的，视同放弃质疑。</w:t>
      </w:r>
    </w:p>
    <w:p>
      <w:pPr>
        <w:snapToGrid w:val="0"/>
        <w:spacing w:line="420" w:lineRule="exact"/>
        <w:ind w:firstLine="480" w:firstLineChars="200"/>
        <w:rPr>
          <w:rFonts w:ascii="宋体" w:hAnsi="宋体" w:eastAsia="宋体"/>
          <w:color w:val="auto"/>
          <w:kern w:val="0"/>
          <w:sz w:val="24"/>
          <w:szCs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对不符合提出质疑要求的《质疑函》，出具《质疑退回通知书》并提出相关补充材料要求，质疑人未在规定时间内提供补充佐证材料的，视同放弃质疑。</w:t>
      </w:r>
    </w:p>
    <w:p>
      <w:pPr>
        <w:snapToGrid w:val="0"/>
        <w:spacing w:line="420" w:lineRule="exact"/>
        <w:ind w:firstLine="480" w:firstLineChars="200"/>
        <w:rPr>
          <w:rFonts w:ascii="宋体" w:hAnsi="宋体" w:eastAsia="宋体"/>
          <w:color w:val="auto"/>
          <w:kern w:val="0"/>
          <w:sz w:val="24"/>
          <w:szCs w:val="24"/>
          <w:highlight w:val="none"/>
        </w:rPr>
      </w:pPr>
      <w:r>
        <w:rPr>
          <w:rFonts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rPr>
        <w:t>采购人负责将质疑人提交的质疑相关材料提供给相关专家或评标小组审核，并将审核意见回复质疑人。</w:t>
      </w:r>
    </w:p>
    <w:p>
      <w:pPr>
        <w:snapToGrid w:val="0"/>
        <w:spacing w:line="420" w:lineRule="exact"/>
        <w:ind w:firstLine="480" w:firstLineChars="200"/>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pPr>
        <w:snapToGrid w:val="0"/>
        <w:spacing w:line="420" w:lineRule="exact"/>
        <w:ind w:firstLine="480" w:firstLineChars="200"/>
        <w:rPr>
          <w:rFonts w:ascii="宋体" w:hAnsi="宋体" w:eastAsia="宋体"/>
          <w:color w:val="auto"/>
          <w:kern w:val="0"/>
          <w:sz w:val="24"/>
          <w:szCs w:val="24"/>
          <w:highlight w:val="none"/>
        </w:rPr>
      </w:pPr>
      <w:r>
        <w:rPr>
          <w:rFonts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rPr>
        <w:t>因质疑情况复杂，组织论证或审查时间较长的，采购人以书面形式通知质疑人，可适当延长质疑回复处理时间。</w:t>
      </w:r>
    </w:p>
    <w:p>
      <w:pPr>
        <w:snapToGrid w:val="0"/>
        <w:spacing w:line="420" w:lineRule="exact"/>
        <w:ind w:firstLine="482" w:firstLineChars="200"/>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三、质疑处理</w:t>
      </w:r>
    </w:p>
    <w:p>
      <w:pPr>
        <w:snapToGrid w:val="0"/>
        <w:spacing w:line="420" w:lineRule="exact"/>
        <w:ind w:firstLine="480" w:firstLineChars="200"/>
        <w:rPr>
          <w:rFonts w:ascii="宋体" w:hAnsi="宋体" w:eastAsia="宋体"/>
          <w:color w:val="auto"/>
          <w:kern w:val="0"/>
          <w:sz w:val="24"/>
          <w:szCs w:val="24"/>
          <w:highlight w:val="none"/>
        </w:rPr>
      </w:pP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质疑成立的处理。采购人终止采购，并建议监管部门给相关当事人予以处理。</w:t>
      </w:r>
    </w:p>
    <w:p>
      <w:pPr>
        <w:snapToGrid w:val="0"/>
        <w:spacing w:line="420" w:lineRule="exact"/>
        <w:ind w:firstLine="480" w:firstLineChars="200"/>
        <w:rPr>
          <w:rFonts w:ascii="宋体" w:hAnsi="宋体" w:eastAsia="宋体"/>
          <w:color w:val="auto"/>
          <w:kern w:val="0"/>
          <w:sz w:val="24"/>
          <w:szCs w:val="24"/>
          <w:highlight w:val="none"/>
        </w:rPr>
      </w:pPr>
      <w:r>
        <w:rPr>
          <w:rFonts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rPr>
        <w:t>质疑不成立的处理：</w:t>
      </w:r>
    </w:p>
    <w:p>
      <w:pPr>
        <w:snapToGrid w:val="0"/>
        <w:spacing w:line="420" w:lineRule="exact"/>
        <w:ind w:firstLine="480" w:firstLineChars="200"/>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）质疑人书面《申请撤回质疑函》。</w:t>
      </w:r>
    </w:p>
    <w:p>
      <w:pPr>
        <w:snapToGrid w:val="0"/>
        <w:spacing w:line="420" w:lineRule="exact"/>
        <w:ind w:firstLine="480" w:firstLineChars="200"/>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rPr>
        <w:t>）质疑人在规定的时间内不配合进行质疑调查处理的，按自动撤回《质疑函》处理。</w:t>
      </w:r>
    </w:p>
    <w:p>
      <w:pPr>
        <w:snapToGrid w:val="0"/>
        <w:spacing w:line="420" w:lineRule="exact"/>
        <w:ind w:firstLine="480" w:firstLineChars="200"/>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质疑人不能提供相关佐证材料的，招标采购人已指出，质疑人仍然坚持提出质疑的，质疑人虽提供了相关佐证材料，但不能证明其质疑成立的，招标采购人请质疑人补充相关佐证材料，仍不能证明其质疑成立的，建议相关监管部门将其列入失信名单。</w:t>
      </w:r>
    </w:p>
    <w:p>
      <w:pPr>
        <w:snapToGrid w:val="0"/>
        <w:spacing w:line="420" w:lineRule="exact"/>
        <w:ind w:firstLine="480" w:firstLineChars="200"/>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rPr>
        <w:t>）对明显有违背事实的、经相关专家或评委认定无依据的、经其他供应商举证无依据的质疑，建议监管部门将其列入失信名单；同时，对其中每一项不成立的质疑，建议相关监管部门给予质疑人</w:t>
      </w: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年内禁入政府采购活动的行政处罚，依此类推；视情在省、国家级相关媒体予以披露。</w:t>
      </w:r>
    </w:p>
    <w:p>
      <w:pPr>
        <w:snapToGrid w:val="0"/>
        <w:spacing w:line="420" w:lineRule="exact"/>
        <w:ind w:firstLine="480" w:firstLineChars="200"/>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rPr>
        <w:t>）质疑人承担使用虚假材料或恶意方式质疑的法律责任。</w:t>
      </w:r>
    </w:p>
    <w:p>
      <w:pPr>
        <w:snapToGrid w:val="0"/>
        <w:spacing w:line="420" w:lineRule="exact"/>
        <w:ind w:firstLine="482" w:firstLineChars="200"/>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四、无佐证材料的举报的处理</w:t>
      </w:r>
    </w:p>
    <w:p>
      <w:pPr>
        <w:snapToGrid w:val="0"/>
        <w:spacing w:line="420" w:lineRule="exact"/>
        <w:ind w:firstLine="480" w:firstLineChars="200"/>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供应商不得进行不提供相关佐证材料（含无法查实的如宣传册、媒体报道、猜测、推理等）而向有关部门的举报，否则建议相关监管部门对其实施在</w:t>
      </w: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至</w:t>
      </w: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年内禁入政府采购市场活动的行政处罚。</w:t>
      </w:r>
    </w:p>
    <w:p>
      <w:pPr>
        <w:snapToGrid w:val="0"/>
        <w:spacing w:line="420" w:lineRule="exact"/>
        <w:ind w:firstLine="482" w:firstLineChars="200"/>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五、投诉的提出</w:t>
      </w:r>
    </w:p>
    <w:p>
      <w:pPr>
        <w:snapToGrid w:val="0"/>
        <w:spacing w:line="420" w:lineRule="exact"/>
        <w:ind w:firstLine="480" w:firstLineChars="200"/>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质疑人对采购人的答复不满意或者招标采购人未在规定的时间内做出答复的，可以在答复期满后</w:t>
      </w:r>
      <w:r>
        <w:rPr>
          <w:rFonts w:ascii="宋体" w:hAnsi="宋体" w:eastAsia="宋体" w:cs="宋体"/>
          <w:color w:val="auto"/>
          <w:kern w:val="0"/>
          <w:sz w:val="24"/>
          <w:szCs w:val="24"/>
          <w:highlight w:val="none"/>
        </w:rPr>
        <w:t>15</w:t>
      </w:r>
      <w:r>
        <w:rPr>
          <w:rFonts w:hint="eastAsia" w:ascii="宋体" w:hAnsi="宋体" w:eastAsia="宋体" w:cs="宋体"/>
          <w:color w:val="auto"/>
          <w:kern w:val="0"/>
          <w:sz w:val="24"/>
          <w:szCs w:val="24"/>
          <w:highlight w:val="none"/>
        </w:rPr>
        <w:t>个工作日内向采购人单位的上级主管部门投诉。</w:t>
      </w:r>
    </w:p>
    <w:p>
      <w:pPr>
        <w:snapToGrid w:val="0"/>
        <w:spacing w:line="420" w:lineRule="exact"/>
        <w:ind w:firstLine="482" w:firstLineChars="200"/>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六、投诉不成立的处理</w:t>
      </w:r>
    </w:p>
    <w:p>
      <w:pPr>
        <w:snapToGrid w:val="0"/>
        <w:spacing w:line="420" w:lineRule="exact"/>
        <w:ind w:firstLine="480" w:firstLineChars="200"/>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供应商进行质疑后，招标采购人回复质疑不成立，质疑人仍进行投诉的，并最终投诉不成立的，上报并建议相关监管部门对其实施在</w:t>
      </w: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至</w:t>
      </w: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年内禁入政府采购活动市场的行政处罚，同时列入失信名单。</w:t>
      </w:r>
    </w:p>
    <w:p>
      <w:pPr>
        <w:snapToGrid w:val="0"/>
        <w:spacing w:line="420" w:lineRule="exact"/>
        <w:ind w:firstLine="482" w:firstLineChars="200"/>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七、质疑、举报、投诉不成立的等相关情况</w:t>
      </w:r>
    </w:p>
    <w:p>
      <w:pPr>
        <w:snapToGrid w:val="0"/>
        <w:spacing w:line="420" w:lineRule="exact"/>
        <w:ind w:firstLine="480" w:firstLineChars="200"/>
        <w:rPr>
          <w:rFonts w:eastAsia="仿宋_GB2312"/>
          <w:color w:val="auto"/>
          <w:kern w:val="0"/>
          <w:sz w:val="24"/>
          <w:szCs w:val="24"/>
          <w:highlight w:val="none"/>
        </w:rPr>
      </w:pPr>
      <w:r>
        <w:rPr>
          <w:rFonts w:hint="eastAsia" w:ascii="宋体" w:hAnsi="宋体" w:eastAsia="宋体" w:cs="宋体"/>
          <w:color w:val="auto"/>
          <w:kern w:val="0"/>
          <w:sz w:val="24"/>
          <w:szCs w:val="24"/>
          <w:highlight w:val="none"/>
        </w:rPr>
        <w:t>《质疑函》、《质疑回复函》，质疑、举报、投诉不成立的等相关情况，视情在政府采购网、省、国家级等相关媒体予以披露。并建议政府采购相关监管部门对该供应商实施</w:t>
      </w: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年内禁入政府采购活动市场的行政处罚，同时列入失信名单</w:t>
      </w:r>
      <w:r>
        <w:rPr>
          <w:rFonts w:hint="eastAsia" w:eastAsia="仿宋_GB2312" w:cs="仿宋_GB2312"/>
          <w:color w:val="auto"/>
          <w:kern w:val="0"/>
          <w:sz w:val="24"/>
          <w:szCs w:val="24"/>
          <w:highlight w:val="none"/>
        </w:rPr>
        <w:t>。</w:t>
      </w:r>
    </w:p>
    <w:p>
      <w:pPr>
        <w:snapToGrid w:val="0"/>
        <w:spacing w:line="420" w:lineRule="exact"/>
        <w:ind w:firstLine="480" w:firstLineChars="200"/>
        <w:rPr>
          <w:rFonts w:eastAsia="仿宋_GB2312"/>
          <w:color w:val="auto"/>
          <w:kern w:val="0"/>
          <w:sz w:val="24"/>
          <w:szCs w:val="24"/>
          <w:highlight w:val="none"/>
        </w:rPr>
      </w:pPr>
    </w:p>
    <w:p>
      <w:pPr>
        <w:snapToGrid w:val="0"/>
        <w:spacing w:line="420" w:lineRule="exact"/>
        <w:ind w:firstLine="480" w:firstLineChars="200"/>
        <w:rPr>
          <w:rFonts w:eastAsia="仿宋_GB2312"/>
          <w:color w:val="auto"/>
          <w:kern w:val="0"/>
          <w:sz w:val="24"/>
          <w:szCs w:val="24"/>
          <w:highlight w:val="none"/>
        </w:rPr>
      </w:pPr>
    </w:p>
    <w:p>
      <w:pPr>
        <w:snapToGrid w:val="0"/>
        <w:spacing w:line="420" w:lineRule="exact"/>
        <w:ind w:firstLine="480" w:firstLineChars="200"/>
        <w:rPr>
          <w:rFonts w:eastAsia="仿宋_GB2312"/>
          <w:color w:val="auto"/>
          <w:kern w:val="0"/>
          <w:sz w:val="24"/>
          <w:szCs w:val="24"/>
          <w:highlight w:val="none"/>
        </w:rPr>
      </w:pPr>
    </w:p>
    <w:p>
      <w:pPr>
        <w:snapToGrid w:val="0"/>
        <w:spacing w:line="420" w:lineRule="exact"/>
        <w:ind w:firstLine="480" w:firstLineChars="200"/>
        <w:rPr>
          <w:rFonts w:eastAsia="仿宋_GB2312"/>
          <w:color w:val="auto"/>
          <w:kern w:val="0"/>
          <w:sz w:val="24"/>
          <w:szCs w:val="24"/>
          <w:highlight w:val="none"/>
        </w:rPr>
      </w:pPr>
    </w:p>
    <w:p>
      <w:pPr>
        <w:snapToGrid w:val="0"/>
        <w:spacing w:line="420" w:lineRule="exact"/>
        <w:ind w:firstLine="480" w:firstLineChars="200"/>
        <w:rPr>
          <w:rFonts w:eastAsia="仿宋_GB2312"/>
          <w:color w:val="auto"/>
          <w:kern w:val="0"/>
          <w:sz w:val="24"/>
          <w:szCs w:val="24"/>
          <w:highlight w:val="none"/>
        </w:rPr>
      </w:pPr>
    </w:p>
    <w:p>
      <w:pPr>
        <w:tabs>
          <w:tab w:val="left" w:pos="1050"/>
          <w:tab w:val="right" w:leader="dot" w:pos="9402"/>
        </w:tabs>
        <w:spacing w:beforeLines="100" w:line="600" w:lineRule="exact"/>
        <w:jc w:val="center"/>
        <w:outlineLvl w:val="0"/>
        <w:rPr>
          <w:rFonts w:ascii="宋体" w:hAnsi="宋体" w:eastAsia="宋体"/>
          <w:b/>
          <w:bCs/>
          <w:color w:val="auto"/>
          <w:w w:val="80"/>
          <w:sz w:val="36"/>
          <w:szCs w:val="36"/>
          <w:highlight w:val="none"/>
        </w:rPr>
      </w:pPr>
      <w:bookmarkStart w:id="14" w:name="_Toc363573860"/>
      <w:r>
        <w:rPr>
          <w:rFonts w:hint="eastAsia" w:ascii="宋体" w:hAnsi="宋体" w:eastAsia="宋体" w:cs="宋体"/>
          <w:b/>
          <w:bCs/>
          <w:color w:val="auto"/>
          <w:w w:val="80"/>
          <w:sz w:val="36"/>
          <w:szCs w:val="36"/>
          <w:highlight w:val="none"/>
        </w:rPr>
        <w:t>第八章</w:t>
      </w:r>
      <w:r>
        <w:rPr>
          <w:rFonts w:ascii="宋体" w:hAnsi="宋体" w:eastAsia="宋体" w:cs="宋体"/>
          <w:b/>
          <w:bCs/>
          <w:color w:val="auto"/>
          <w:w w:val="80"/>
          <w:sz w:val="36"/>
          <w:szCs w:val="36"/>
          <w:highlight w:val="none"/>
        </w:rPr>
        <w:t xml:space="preserve">  </w:t>
      </w:r>
      <w:bookmarkEnd w:id="14"/>
      <w:r>
        <w:rPr>
          <w:rFonts w:hint="eastAsia" w:ascii="宋体" w:hAnsi="宋体" w:eastAsia="宋体" w:cs="宋体"/>
          <w:b/>
          <w:bCs/>
          <w:color w:val="auto"/>
          <w:w w:val="80"/>
          <w:sz w:val="36"/>
          <w:szCs w:val="36"/>
          <w:highlight w:val="none"/>
        </w:rPr>
        <w:t>磋商响应文件的组成及格式</w:t>
      </w:r>
    </w:p>
    <w:p>
      <w:pPr>
        <w:adjustRightInd w:val="0"/>
        <w:snapToGrid w:val="0"/>
        <w:spacing w:line="420" w:lineRule="exact"/>
        <w:ind w:firstLine="487" w:firstLineChars="202"/>
        <w:jc w:val="left"/>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一、磋商响应文件</w:t>
      </w:r>
    </w:p>
    <w:p>
      <w:pPr>
        <w:adjustRightInd w:val="0"/>
        <w:snapToGrid w:val="0"/>
        <w:spacing w:line="420" w:lineRule="exact"/>
        <w:ind w:firstLine="484" w:firstLineChars="202"/>
        <w:jc w:val="left"/>
        <w:rPr>
          <w:rFonts w:ascii="宋体" w:hAnsi="宋体" w:eastAsia="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资格后审材料文件（一个密封包，内含：</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份“正本”和</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份“副本”。）</w:t>
      </w:r>
    </w:p>
    <w:p>
      <w:pPr>
        <w:adjustRightInd w:val="0"/>
        <w:snapToGrid w:val="0"/>
        <w:spacing w:line="420" w:lineRule="exact"/>
        <w:ind w:firstLine="484" w:firstLineChars="202"/>
        <w:jc w:val="left"/>
        <w:rPr>
          <w:rFonts w:ascii="宋体" w:hAnsi="宋体" w:eastAsia="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技术标文件（一个密封包，内含：</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份“正本”和</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份“副本”。）</w:t>
      </w:r>
    </w:p>
    <w:p>
      <w:pPr>
        <w:adjustRightInd w:val="0"/>
        <w:snapToGrid w:val="0"/>
        <w:spacing w:line="420" w:lineRule="exact"/>
        <w:ind w:firstLine="484" w:firstLineChars="202"/>
        <w:jc w:val="left"/>
        <w:rPr>
          <w:rFonts w:ascii="宋体" w:hAnsi="宋体" w:eastAsia="宋体"/>
          <w:color w:val="auto"/>
          <w:sz w:val="24"/>
          <w:szCs w:val="24"/>
          <w:highlight w:val="none"/>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价格标文件（一个密封包，内含：</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份“正本”和</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份“副本”。）</w:t>
      </w:r>
    </w:p>
    <w:p>
      <w:pPr>
        <w:adjustRightInd w:val="0"/>
        <w:snapToGrid w:val="0"/>
        <w:spacing w:line="420" w:lineRule="exact"/>
        <w:ind w:firstLine="487" w:firstLineChars="202"/>
        <w:jc w:val="left"/>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二、磋商响应文件封面范例</w:t>
      </w:r>
    </w:p>
    <w:p>
      <w:pPr>
        <w:spacing w:beforeLines="100" w:afterLines="100" w:line="600" w:lineRule="exact"/>
        <w:jc w:val="center"/>
        <w:rPr>
          <w:rFonts w:ascii="宋体" w:hAnsi="宋体" w:eastAsia="宋体"/>
          <w:color w:val="auto"/>
          <w:w w:val="80"/>
          <w:kern w:val="44"/>
          <w:sz w:val="36"/>
          <w:szCs w:val="36"/>
          <w:highlight w:val="none"/>
        </w:rPr>
      </w:pPr>
    </w:p>
    <w:p>
      <w:pPr>
        <w:spacing w:line="800" w:lineRule="exact"/>
        <w:jc w:val="center"/>
        <w:rPr>
          <w:rFonts w:ascii="宋体" w:hAnsi="宋体" w:eastAsia="宋体" w:cs="宋体"/>
          <w:color w:val="auto"/>
          <w:w w:val="80"/>
          <w:kern w:val="44"/>
          <w:sz w:val="36"/>
          <w:szCs w:val="36"/>
          <w:highlight w:val="none"/>
        </w:rPr>
      </w:pPr>
      <w:r>
        <w:rPr>
          <w:rFonts w:hint="eastAsia" w:ascii="宋体" w:hAnsi="宋体" w:eastAsia="宋体" w:cs="宋体"/>
          <w:color w:val="auto"/>
          <w:w w:val="80"/>
          <w:kern w:val="44"/>
          <w:sz w:val="36"/>
          <w:szCs w:val="36"/>
          <w:highlight w:val="none"/>
          <w:lang w:eastAsia="zh-CN"/>
        </w:rPr>
        <w:t>南通市委老干部局视频拍摄项目</w:t>
      </w:r>
      <w:r>
        <w:rPr>
          <w:rFonts w:ascii="宋体" w:hAnsi="宋体" w:eastAsia="宋体" w:cs="宋体"/>
          <w:color w:val="auto"/>
          <w:w w:val="80"/>
          <w:kern w:val="44"/>
          <w:sz w:val="36"/>
          <w:szCs w:val="36"/>
          <w:highlight w:val="none"/>
        </w:rPr>
        <w:t xml:space="preserve">    </w:t>
      </w:r>
    </w:p>
    <w:p>
      <w:pPr>
        <w:spacing w:line="800" w:lineRule="exact"/>
        <w:jc w:val="center"/>
        <w:rPr>
          <w:rFonts w:ascii="宋体" w:hAnsi="宋体" w:eastAsia="宋体"/>
          <w:color w:val="auto"/>
          <w:sz w:val="36"/>
          <w:szCs w:val="36"/>
          <w:highlight w:val="none"/>
        </w:rPr>
      </w:pPr>
      <w:r>
        <w:rPr>
          <w:rFonts w:hint="eastAsia" w:ascii="宋体" w:hAnsi="宋体" w:eastAsia="宋体" w:cs="宋体"/>
          <w:color w:val="auto"/>
          <w:sz w:val="36"/>
          <w:szCs w:val="36"/>
          <w:highlight w:val="none"/>
        </w:rPr>
        <w:t>竞争性磋商响应文件</w:t>
      </w:r>
    </w:p>
    <w:p>
      <w:pPr>
        <w:spacing w:line="360" w:lineRule="exact"/>
        <w:ind w:firstLine="1920" w:firstLineChars="800"/>
        <w:rPr>
          <w:rFonts w:ascii="宋体" w:hAnsi="宋体" w:eastAsia="宋体"/>
          <w:color w:val="auto"/>
          <w:sz w:val="24"/>
          <w:szCs w:val="24"/>
          <w:highlight w:val="none"/>
        </w:rPr>
      </w:pPr>
      <w:r>
        <w:rPr>
          <w:rFonts w:hint="eastAsia" w:ascii="宋体" w:hAnsi="宋体" w:eastAsia="宋体" w:cs="宋体"/>
          <w:color w:val="auto"/>
          <w:sz w:val="24"/>
          <w:szCs w:val="24"/>
          <w:highlight w:val="none"/>
        </w:rPr>
        <w:t>对应磋商响应文件，相应填写：</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资格后审材料文件</w:t>
      </w:r>
    </w:p>
    <w:p>
      <w:pPr>
        <w:spacing w:line="360" w:lineRule="exact"/>
        <w:ind w:firstLine="5438" w:firstLineChars="2266"/>
        <w:jc w:val="left"/>
        <w:rPr>
          <w:rFonts w:ascii="宋体" w:hAnsi="宋体" w:eastAsia="宋体"/>
          <w:color w:val="auto"/>
          <w:sz w:val="24"/>
          <w:szCs w:val="24"/>
          <w:highlight w:val="none"/>
        </w:rPr>
      </w:pPr>
      <w:r>
        <w:rPr>
          <w:rFonts w:hint="eastAsia" w:ascii="宋体" w:hAnsi="宋体" w:eastAsia="宋体" w:cs="宋体"/>
          <w:color w:val="auto"/>
          <w:sz w:val="24"/>
          <w:szCs w:val="24"/>
          <w:highlight w:val="none"/>
        </w:rPr>
        <w:t>技术标文件</w:t>
      </w:r>
    </w:p>
    <w:p>
      <w:pPr>
        <w:spacing w:line="360" w:lineRule="exact"/>
        <w:ind w:firstLine="5438" w:firstLineChars="2266"/>
        <w:jc w:val="left"/>
        <w:rPr>
          <w:rFonts w:ascii="宋体" w:hAnsi="宋体" w:eastAsia="宋体"/>
          <w:color w:val="auto"/>
          <w:sz w:val="24"/>
          <w:szCs w:val="24"/>
          <w:highlight w:val="none"/>
        </w:rPr>
      </w:pPr>
      <w:r>
        <w:rPr>
          <w:rFonts w:hint="eastAsia" w:ascii="宋体" w:hAnsi="宋体" w:eastAsia="宋体" w:cs="宋体"/>
          <w:color w:val="auto"/>
          <w:sz w:val="24"/>
          <w:szCs w:val="24"/>
          <w:highlight w:val="none"/>
        </w:rPr>
        <w:t>价格标文件</w:t>
      </w:r>
    </w:p>
    <w:p>
      <w:pPr>
        <w:spacing w:line="360" w:lineRule="exact"/>
        <w:jc w:val="center"/>
        <w:rPr>
          <w:rFonts w:ascii="宋体" w:hAnsi="宋体" w:eastAsia="宋体"/>
          <w:color w:val="auto"/>
          <w:sz w:val="24"/>
          <w:szCs w:val="24"/>
          <w:highlight w:val="none"/>
        </w:rPr>
      </w:pPr>
    </w:p>
    <w:p>
      <w:pPr>
        <w:spacing w:line="36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（资格后审）</w:t>
      </w:r>
    </w:p>
    <w:p>
      <w:pPr>
        <w:adjustRightInd w:val="0"/>
        <w:snapToGrid w:val="0"/>
        <w:spacing w:line="420" w:lineRule="exact"/>
        <w:jc w:val="center"/>
        <w:rPr>
          <w:rFonts w:ascii="宋体" w:hAnsi="宋体" w:eastAsia="宋体"/>
          <w:color w:val="auto"/>
          <w:sz w:val="24"/>
          <w:szCs w:val="24"/>
          <w:highlight w:val="none"/>
        </w:rPr>
      </w:pPr>
    </w:p>
    <w:p>
      <w:pPr>
        <w:adjustRightInd w:val="0"/>
        <w:snapToGrid w:val="0"/>
        <w:spacing w:line="420" w:lineRule="exact"/>
        <w:jc w:val="center"/>
        <w:rPr>
          <w:rFonts w:ascii="宋体" w:hAnsi="宋体" w:eastAsia="宋体"/>
          <w:color w:val="auto"/>
          <w:sz w:val="24"/>
          <w:szCs w:val="24"/>
          <w:highlight w:val="none"/>
        </w:rPr>
      </w:pPr>
    </w:p>
    <w:p>
      <w:pPr>
        <w:adjustRightInd w:val="0"/>
        <w:snapToGrid w:val="0"/>
        <w:spacing w:line="420" w:lineRule="exact"/>
        <w:jc w:val="center"/>
        <w:rPr>
          <w:rFonts w:ascii="宋体" w:hAnsi="宋体" w:eastAsia="宋体"/>
          <w:color w:val="auto"/>
          <w:sz w:val="24"/>
          <w:szCs w:val="24"/>
          <w:highlight w:val="none"/>
        </w:rPr>
      </w:pPr>
    </w:p>
    <w:p>
      <w:pPr>
        <w:adjustRightInd w:val="0"/>
        <w:snapToGrid w:val="0"/>
        <w:spacing w:line="420" w:lineRule="exact"/>
        <w:jc w:val="center"/>
        <w:rPr>
          <w:rFonts w:ascii="宋体" w:hAnsi="宋体" w:eastAsia="宋体"/>
          <w:color w:val="auto"/>
          <w:sz w:val="24"/>
          <w:szCs w:val="24"/>
          <w:highlight w:val="none"/>
        </w:rPr>
      </w:pPr>
    </w:p>
    <w:p>
      <w:pPr>
        <w:adjustRightInd w:val="0"/>
        <w:snapToGrid w:val="0"/>
        <w:spacing w:line="420" w:lineRule="exact"/>
        <w:jc w:val="center"/>
        <w:rPr>
          <w:rFonts w:ascii="宋体" w:hAnsi="宋体" w:eastAsia="宋体"/>
          <w:color w:val="auto"/>
          <w:sz w:val="24"/>
          <w:szCs w:val="24"/>
          <w:highlight w:val="none"/>
        </w:rPr>
      </w:pPr>
    </w:p>
    <w:p>
      <w:pPr>
        <w:adjustRightInd w:val="0"/>
        <w:snapToGrid w:val="0"/>
        <w:spacing w:line="420" w:lineRule="exact"/>
        <w:jc w:val="center"/>
        <w:rPr>
          <w:rFonts w:ascii="宋体" w:hAnsi="宋体" w:eastAsia="宋体"/>
          <w:color w:val="auto"/>
          <w:sz w:val="24"/>
          <w:szCs w:val="24"/>
          <w:highlight w:val="none"/>
        </w:rPr>
      </w:pPr>
    </w:p>
    <w:p>
      <w:pPr>
        <w:adjustRightInd w:val="0"/>
        <w:snapToGrid w:val="0"/>
        <w:spacing w:line="420" w:lineRule="exact"/>
        <w:jc w:val="center"/>
        <w:rPr>
          <w:rFonts w:ascii="宋体" w:hAnsi="宋体" w:eastAsia="宋体"/>
          <w:color w:val="auto"/>
          <w:sz w:val="24"/>
          <w:szCs w:val="24"/>
          <w:highlight w:val="none"/>
        </w:rPr>
      </w:pPr>
    </w:p>
    <w:p>
      <w:pPr>
        <w:adjustRightInd w:val="0"/>
        <w:snapToGrid w:val="0"/>
        <w:spacing w:line="420" w:lineRule="exact"/>
        <w:jc w:val="center"/>
        <w:rPr>
          <w:rFonts w:ascii="宋体" w:hAnsi="宋体" w:eastAsia="宋体"/>
          <w:color w:val="auto"/>
          <w:sz w:val="24"/>
          <w:szCs w:val="24"/>
          <w:highlight w:val="none"/>
        </w:rPr>
      </w:pPr>
    </w:p>
    <w:p>
      <w:pPr>
        <w:adjustRightInd w:val="0"/>
        <w:snapToGrid w:val="0"/>
        <w:spacing w:line="420" w:lineRule="exact"/>
        <w:rPr>
          <w:rFonts w:ascii="宋体" w:hAnsi="宋体" w:eastAsia="宋体"/>
          <w:color w:val="auto"/>
          <w:sz w:val="24"/>
          <w:szCs w:val="24"/>
          <w:highlight w:val="none"/>
        </w:rPr>
      </w:pPr>
    </w:p>
    <w:p>
      <w:pPr>
        <w:adjustRightInd w:val="0"/>
        <w:snapToGrid w:val="0"/>
        <w:spacing w:line="420" w:lineRule="exact"/>
        <w:jc w:val="center"/>
        <w:rPr>
          <w:rFonts w:ascii="宋体" w:hAnsi="宋体" w:eastAsia="宋体"/>
          <w:color w:val="auto"/>
          <w:sz w:val="24"/>
          <w:szCs w:val="24"/>
          <w:highlight w:val="none"/>
        </w:rPr>
      </w:pPr>
    </w:p>
    <w:p>
      <w:pPr>
        <w:adjustRightInd w:val="0"/>
        <w:snapToGrid w:val="0"/>
        <w:spacing w:line="42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供应商：参加磋商响应单位全称</w:t>
      </w:r>
    </w:p>
    <w:p>
      <w:pPr>
        <w:snapToGrid w:val="0"/>
        <w:spacing w:line="420" w:lineRule="exact"/>
        <w:jc w:val="center"/>
        <w:rPr>
          <w:rFonts w:ascii="仿宋_GB2312" w:hAnsi="宋体" w:eastAsia="仿宋_GB2312"/>
          <w:b/>
          <w:bCs/>
          <w:color w:val="auto"/>
          <w:sz w:val="24"/>
          <w:szCs w:val="24"/>
          <w:highlight w:val="none"/>
        </w:rPr>
      </w:pPr>
      <w:r>
        <w:rPr>
          <w:rFonts w:hint="eastAsia" w:ascii="宋体" w:hAnsi="宋体" w:eastAsia="宋体" w:cs="宋体"/>
          <w:color w:val="auto"/>
          <w:sz w:val="24"/>
          <w:szCs w:val="24"/>
          <w:highlight w:val="none"/>
        </w:rPr>
        <w:t>二○二</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rPr>
        <w:t xml:space="preserve">     </w:t>
      </w:r>
    </w:p>
    <w:p>
      <w:pPr>
        <w:adjustRightInd w:val="0"/>
        <w:snapToGrid w:val="0"/>
        <w:spacing w:line="420" w:lineRule="exact"/>
        <w:ind w:firstLine="487" w:firstLineChars="202"/>
        <w:jc w:val="left"/>
        <w:outlineLvl w:val="1"/>
        <w:rPr>
          <w:rFonts w:ascii="仿宋_GB2312" w:hAnsi="宋体" w:eastAsia="仿宋_GB2312"/>
          <w:b/>
          <w:bCs/>
          <w:color w:val="auto"/>
          <w:sz w:val="24"/>
          <w:szCs w:val="24"/>
          <w:highlight w:val="none"/>
        </w:rPr>
      </w:pPr>
    </w:p>
    <w:p>
      <w:pPr>
        <w:adjustRightInd w:val="0"/>
        <w:snapToGrid w:val="0"/>
        <w:spacing w:line="420" w:lineRule="exact"/>
        <w:ind w:firstLine="487" w:firstLineChars="202"/>
        <w:jc w:val="left"/>
        <w:outlineLvl w:val="1"/>
        <w:rPr>
          <w:rFonts w:ascii="仿宋_GB2312" w:hAnsi="宋体" w:eastAsia="仿宋_GB2312"/>
          <w:b/>
          <w:bCs/>
          <w:color w:val="auto"/>
          <w:sz w:val="24"/>
          <w:szCs w:val="24"/>
          <w:highlight w:val="none"/>
        </w:rPr>
      </w:pPr>
    </w:p>
    <w:p>
      <w:pPr>
        <w:adjustRightInd w:val="0"/>
        <w:snapToGrid w:val="0"/>
        <w:spacing w:line="420" w:lineRule="exact"/>
        <w:ind w:firstLine="487" w:firstLineChars="202"/>
        <w:jc w:val="left"/>
        <w:outlineLvl w:val="1"/>
        <w:rPr>
          <w:rFonts w:ascii="仿宋_GB2312" w:hAnsi="宋体" w:eastAsia="仿宋_GB2312"/>
          <w:b/>
          <w:bCs/>
          <w:color w:val="auto"/>
          <w:sz w:val="24"/>
          <w:szCs w:val="24"/>
          <w:highlight w:val="none"/>
        </w:rPr>
      </w:pPr>
    </w:p>
    <w:p>
      <w:pPr>
        <w:adjustRightInd w:val="0"/>
        <w:snapToGrid w:val="0"/>
        <w:spacing w:line="420" w:lineRule="exact"/>
        <w:ind w:firstLine="487" w:firstLineChars="202"/>
        <w:jc w:val="left"/>
        <w:outlineLvl w:val="1"/>
        <w:rPr>
          <w:rFonts w:ascii="仿宋_GB2312" w:hAnsi="宋体" w:eastAsia="仿宋_GB2312"/>
          <w:b/>
          <w:bCs/>
          <w:color w:val="auto"/>
          <w:sz w:val="24"/>
          <w:szCs w:val="24"/>
          <w:highlight w:val="none"/>
        </w:rPr>
      </w:pPr>
    </w:p>
    <w:p>
      <w:pPr>
        <w:adjustRightInd w:val="0"/>
        <w:snapToGrid w:val="0"/>
        <w:spacing w:line="420" w:lineRule="exact"/>
        <w:ind w:firstLine="487" w:firstLineChars="202"/>
        <w:jc w:val="left"/>
        <w:outlineLvl w:val="1"/>
        <w:rPr>
          <w:rFonts w:ascii="仿宋_GB2312" w:hAnsi="宋体" w:eastAsia="仿宋_GB2312"/>
          <w:b/>
          <w:bCs/>
          <w:color w:val="auto"/>
          <w:sz w:val="24"/>
          <w:szCs w:val="24"/>
          <w:highlight w:val="none"/>
        </w:rPr>
      </w:pPr>
    </w:p>
    <w:p>
      <w:pPr>
        <w:adjustRightInd w:val="0"/>
        <w:snapToGrid w:val="0"/>
        <w:spacing w:line="420" w:lineRule="exact"/>
        <w:ind w:firstLine="487" w:firstLineChars="202"/>
        <w:jc w:val="left"/>
        <w:outlineLvl w:val="1"/>
        <w:rPr>
          <w:rFonts w:ascii="仿宋_GB2312" w:hAnsi="宋体" w:eastAsia="仿宋_GB2312"/>
          <w:b/>
          <w:bCs/>
          <w:color w:val="auto"/>
          <w:sz w:val="24"/>
          <w:szCs w:val="24"/>
          <w:highlight w:val="none"/>
        </w:rPr>
      </w:pPr>
    </w:p>
    <w:p>
      <w:pPr>
        <w:adjustRightInd w:val="0"/>
        <w:snapToGrid w:val="0"/>
        <w:spacing w:line="420" w:lineRule="exact"/>
        <w:ind w:firstLine="487" w:firstLineChars="202"/>
        <w:jc w:val="left"/>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三、磋商响应文件</w:t>
      </w:r>
    </w:p>
    <w:p>
      <w:pPr>
        <w:adjustRightInd w:val="0"/>
        <w:snapToGrid w:val="0"/>
        <w:spacing w:line="420" w:lineRule="exact"/>
        <w:ind w:firstLine="566" w:firstLineChars="235"/>
        <w:outlineLvl w:val="2"/>
        <w:rPr>
          <w:rFonts w:ascii="宋体" w:hAnsi="宋体" w:eastAsia="宋体"/>
          <w:b/>
          <w:bCs/>
          <w:color w:val="auto"/>
          <w:sz w:val="24"/>
          <w:szCs w:val="24"/>
          <w:highlight w:val="none"/>
        </w:rPr>
      </w:pPr>
      <w:r>
        <w:rPr>
          <w:rFonts w:ascii="宋体" w:hAnsi="宋体" w:eastAsia="宋体" w:cs="宋体"/>
          <w:b/>
          <w:bCs/>
          <w:color w:val="auto"/>
          <w:sz w:val="24"/>
          <w:szCs w:val="24"/>
          <w:highlight w:val="none"/>
        </w:rPr>
        <w:t>A</w:t>
      </w:r>
      <w:r>
        <w:rPr>
          <w:rFonts w:hint="eastAsia" w:ascii="宋体" w:hAnsi="宋体" w:eastAsia="宋体" w:cs="宋体"/>
          <w:b/>
          <w:bCs/>
          <w:color w:val="auto"/>
          <w:sz w:val="24"/>
          <w:szCs w:val="24"/>
          <w:highlight w:val="none"/>
        </w:rPr>
        <w:t>、资格后审材料文件</w:t>
      </w:r>
      <w:r>
        <w:rPr>
          <w:rFonts w:hint="eastAsia" w:ascii="宋体" w:hAnsi="宋体" w:eastAsia="宋体" w:cs="宋体"/>
          <w:color w:val="auto"/>
          <w:sz w:val="24"/>
          <w:szCs w:val="24"/>
          <w:highlight w:val="none"/>
        </w:rPr>
        <w:t>（一个密封包，内含：</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份“正本”和</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份“副本”。）</w:t>
      </w:r>
    </w:p>
    <w:p>
      <w:pPr>
        <w:adjustRightInd w:val="0"/>
        <w:snapToGrid w:val="0"/>
        <w:spacing w:line="420" w:lineRule="exact"/>
        <w:ind w:firstLine="564" w:firstLineChars="235"/>
        <w:jc w:val="left"/>
        <w:outlineLvl w:val="3"/>
        <w:rPr>
          <w:rFonts w:ascii="宋体" w:hAnsi="宋体" w:eastAsia="宋体"/>
          <w:color w:val="auto"/>
          <w:sz w:val="24"/>
          <w:szCs w:val="24"/>
          <w:highlight w:val="none"/>
        </w:rPr>
      </w:pPr>
      <w:r>
        <w:rPr>
          <w:rFonts w:ascii="宋体" w:hAnsi="宋体" w:eastAsia="宋体" w:cs="宋体"/>
          <w:color w:val="auto"/>
          <w:sz w:val="24"/>
          <w:szCs w:val="24"/>
          <w:highlight w:val="none"/>
        </w:rPr>
        <w:t>A.1</w:t>
      </w:r>
      <w:r>
        <w:rPr>
          <w:rFonts w:hint="eastAsia" w:ascii="宋体" w:hAnsi="宋体" w:eastAsia="宋体" w:cs="宋体"/>
          <w:color w:val="auto"/>
          <w:sz w:val="24"/>
          <w:szCs w:val="24"/>
          <w:highlight w:val="none"/>
        </w:rPr>
        <w:t>、目录</w:t>
      </w:r>
    </w:p>
    <w:tbl>
      <w:tblPr>
        <w:tblStyle w:val="4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22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blHeader/>
        </w:trPr>
        <w:tc>
          <w:tcPr>
            <w:tcW w:w="709" w:type="dxa"/>
            <w:vAlign w:val="center"/>
          </w:tcPr>
          <w:p>
            <w:pPr>
              <w:spacing w:line="420" w:lineRule="exact"/>
              <w:jc w:val="center"/>
              <w:rPr>
                <w:rFonts w:ascii="宋体" w:hAnsi="宋体" w:eastAsia="宋体"/>
                <w:color w:val="auto"/>
                <w:sz w:val="24"/>
                <w:szCs w:val="24"/>
                <w:highlight w:val="none"/>
              </w:rPr>
            </w:pPr>
            <w:r>
              <w:rPr>
                <w:rFonts w:hint="eastAsia" w:ascii="宋体" w:hAnsi="宋体" w:eastAsia="宋体" w:cs="宋体"/>
                <w:color w:val="auto"/>
                <w:kern w:val="0"/>
                <w:sz w:val="24"/>
                <w:szCs w:val="24"/>
                <w:highlight w:val="none"/>
              </w:rPr>
              <w:t>序号</w:t>
            </w:r>
          </w:p>
        </w:tc>
        <w:tc>
          <w:tcPr>
            <w:tcW w:w="7229" w:type="dxa"/>
            <w:vAlign w:val="center"/>
          </w:tcPr>
          <w:p>
            <w:pPr>
              <w:spacing w:line="420" w:lineRule="exact"/>
              <w:jc w:val="center"/>
              <w:rPr>
                <w:rFonts w:ascii="宋体" w:hAnsi="宋体" w:eastAsia="宋体"/>
                <w:color w:val="auto"/>
                <w:sz w:val="24"/>
                <w:szCs w:val="24"/>
                <w:highlight w:val="none"/>
              </w:rPr>
            </w:pPr>
            <w:r>
              <w:rPr>
                <w:rFonts w:hint="eastAsia" w:ascii="宋体" w:hAnsi="宋体" w:eastAsia="宋体" w:cs="宋体"/>
                <w:color w:val="auto"/>
                <w:kern w:val="0"/>
                <w:sz w:val="24"/>
                <w:szCs w:val="24"/>
                <w:highlight w:val="none"/>
              </w:rPr>
              <w:t>审查条件</w:t>
            </w:r>
          </w:p>
        </w:tc>
        <w:tc>
          <w:tcPr>
            <w:tcW w:w="1701" w:type="dxa"/>
            <w:vAlign w:val="center"/>
          </w:tcPr>
          <w:p>
            <w:pPr>
              <w:spacing w:line="420" w:lineRule="exact"/>
              <w:jc w:val="center"/>
              <w:rPr>
                <w:rFonts w:ascii="宋体" w:hAnsi="宋体" w:eastAsia="宋体"/>
                <w:color w:val="auto"/>
                <w:sz w:val="24"/>
                <w:szCs w:val="24"/>
                <w:highlight w:val="none"/>
              </w:rPr>
            </w:pPr>
            <w:r>
              <w:rPr>
                <w:rFonts w:hint="eastAsia" w:ascii="宋体" w:hAnsi="宋体" w:eastAsia="宋体" w:cs="宋体"/>
                <w:color w:val="auto"/>
                <w:kern w:val="0"/>
                <w:sz w:val="24"/>
                <w:szCs w:val="24"/>
                <w:highlight w:val="none"/>
              </w:rPr>
              <w:t>是否</w:t>
            </w: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09" w:type="dxa"/>
            <w:vAlign w:val="center"/>
          </w:tcPr>
          <w:p>
            <w:pPr>
              <w:spacing w:line="42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w:t>
            </w:r>
          </w:p>
        </w:tc>
        <w:tc>
          <w:tcPr>
            <w:tcW w:w="7229" w:type="dxa"/>
            <w:vAlign w:val="center"/>
          </w:tcPr>
          <w:p>
            <w:pPr>
              <w:spacing w:line="420" w:lineRule="exact"/>
              <w:rPr>
                <w:rFonts w:ascii="宋体" w:hAnsi="宋体" w:eastAsia="宋体"/>
                <w:color w:val="auto"/>
                <w:kern w:val="0"/>
                <w:sz w:val="24"/>
                <w:szCs w:val="24"/>
                <w:highlight w:val="none"/>
              </w:rPr>
            </w:pPr>
            <w:r>
              <w:rPr>
                <w:rFonts w:hint="eastAsia" w:ascii="宋体" w:hAnsi="宋体" w:eastAsia="宋体" w:cs="宋体"/>
                <w:color w:val="auto"/>
                <w:sz w:val="24"/>
                <w:szCs w:val="24"/>
                <w:highlight w:val="none"/>
              </w:rPr>
              <w:t>提供磋商响应供应商的《营业执照》原件的复印件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且经营范围包含本项目范围</w:t>
            </w:r>
            <w:r>
              <w:rPr>
                <w:rFonts w:hint="eastAsia" w:ascii="宋体" w:hAnsi="宋体" w:eastAsia="宋体" w:cs="宋体"/>
                <w:color w:val="auto"/>
                <w:sz w:val="24"/>
                <w:szCs w:val="24"/>
                <w:highlight w:val="none"/>
              </w:rPr>
              <w:t>（须加盖公章）。</w:t>
            </w:r>
          </w:p>
        </w:tc>
        <w:tc>
          <w:tcPr>
            <w:tcW w:w="1701" w:type="dxa"/>
            <w:vAlign w:val="center"/>
          </w:tcPr>
          <w:p>
            <w:pPr>
              <w:spacing w:line="420" w:lineRule="exact"/>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09" w:type="dxa"/>
            <w:vAlign w:val="center"/>
          </w:tcPr>
          <w:p>
            <w:pPr>
              <w:spacing w:line="42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w:t>
            </w:r>
          </w:p>
        </w:tc>
        <w:tc>
          <w:tcPr>
            <w:tcW w:w="7229" w:type="dxa"/>
            <w:vAlign w:val="center"/>
          </w:tcPr>
          <w:p>
            <w:pPr>
              <w:spacing w:line="42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法定代表人参加磋商的，必须提供本人身份证原件的复印件（须加盖公章）；非法定代表人参加的，必须提供法定代表人签名或盖章的授权委托书、委托代理人身份证这</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项材料原件的复印件（须加盖公章）。</w:t>
            </w:r>
          </w:p>
        </w:tc>
        <w:tc>
          <w:tcPr>
            <w:tcW w:w="1701" w:type="dxa"/>
            <w:vAlign w:val="center"/>
          </w:tcPr>
          <w:p>
            <w:pPr>
              <w:spacing w:line="420" w:lineRule="exact"/>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09" w:type="dxa"/>
            <w:vAlign w:val="center"/>
          </w:tcPr>
          <w:p>
            <w:pPr>
              <w:pStyle w:val="48"/>
              <w:ind w:left="0" w:leftChars="0" w:firstLine="0" w:firstLineChars="0"/>
              <w:rPr>
                <w:rFonts w:hint="eastAsia"/>
                <w:b w:val="0"/>
                <w:bCs w:val="0"/>
                <w:color w:val="auto"/>
                <w:highlight w:val="none"/>
                <w:lang w:val="en-US" w:eastAsia="zh-CN"/>
              </w:rPr>
            </w:pPr>
            <w:r>
              <w:rPr>
                <w:rFonts w:hint="eastAsia" w:ascii="宋体" w:hAnsi="宋体" w:eastAsia="宋体" w:cs="宋体"/>
                <w:color w:val="auto"/>
                <w:kern w:val="2"/>
                <w:sz w:val="24"/>
                <w:szCs w:val="24"/>
                <w:highlight w:val="none"/>
                <w:lang w:val="en-US" w:eastAsia="zh-CN" w:bidi="ar-SA"/>
              </w:rPr>
              <w:t>（3）</w:t>
            </w:r>
          </w:p>
        </w:tc>
        <w:tc>
          <w:tcPr>
            <w:tcW w:w="7229" w:type="dxa"/>
            <w:vAlign w:val="center"/>
          </w:tcPr>
          <w:p>
            <w:pPr>
              <w:snapToGrid w:val="0"/>
              <w:spacing w:line="42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供应商须具有独到的艺术理念和策划意识，能够满足采购人制作要求，具备策划、拍摄、设计、编剧、撰稿、配乐、灯光、后期制作等专业人才，分工明确，责任到人，提供相应证明材料（须加盖公章）。</w:t>
            </w:r>
          </w:p>
        </w:tc>
        <w:tc>
          <w:tcPr>
            <w:tcW w:w="1701" w:type="dxa"/>
            <w:vAlign w:val="center"/>
          </w:tcPr>
          <w:p>
            <w:pPr>
              <w:spacing w:line="42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9" w:type="dxa"/>
            <w:vAlign w:val="center"/>
          </w:tcPr>
          <w:p>
            <w:pPr>
              <w:spacing w:line="42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w:t>
            </w:r>
          </w:p>
        </w:tc>
        <w:tc>
          <w:tcPr>
            <w:tcW w:w="7229" w:type="dxa"/>
            <w:vAlign w:val="center"/>
          </w:tcPr>
          <w:p>
            <w:pPr>
              <w:snapToGrid w:val="0"/>
              <w:spacing w:line="420" w:lineRule="exac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sz w:val="24"/>
                <w:szCs w:val="24"/>
                <w:highlight w:val="none"/>
              </w:rPr>
              <w:t>磋商响应供应商须提供参与本次项目政府采购活动前三年内在经营活动中没有重大违法记录的书面《无重大违法记录声明函》（须加盖公章）。</w:t>
            </w:r>
          </w:p>
        </w:tc>
        <w:tc>
          <w:tcPr>
            <w:tcW w:w="1701" w:type="dxa"/>
            <w:vAlign w:val="center"/>
          </w:tcPr>
          <w:p>
            <w:pPr>
              <w:spacing w:line="42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09" w:type="dxa"/>
            <w:vAlign w:val="center"/>
          </w:tcPr>
          <w:p>
            <w:pPr>
              <w:spacing w:line="42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tc>
        <w:tc>
          <w:tcPr>
            <w:tcW w:w="7229" w:type="dxa"/>
            <w:vAlign w:val="center"/>
          </w:tcPr>
          <w:p>
            <w:pPr>
              <w:spacing w:line="420" w:lineRule="exac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宋体"/>
                <w:color w:val="auto"/>
                <w:sz w:val="24"/>
                <w:szCs w:val="24"/>
                <w:highlight w:val="none"/>
              </w:rPr>
              <w:t>磋商响应供应商还须提供谈判文件第八章谈判响应文件格式内“三、</w:t>
            </w:r>
            <w:r>
              <w:rPr>
                <w:rFonts w:ascii="宋体" w:hAnsi="宋体" w:eastAsia="宋体" w:cs="宋体"/>
                <w:color w:val="auto"/>
                <w:sz w:val="24"/>
                <w:szCs w:val="24"/>
                <w:highlight w:val="none"/>
              </w:rPr>
              <w:t>A</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A.2</w:t>
            </w:r>
            <w:r>
              <w:rPr>
                <w:rFonts w:hint="eastAsia" w:ascii="宋体" w:hAnsi="宋体" w:eastAsia="宋体" w:cs="宋体"/>
                <w:color w:val="auto"/>
                <w:sz w:val="24"/>
                <w:szCs w:val="24"/>
                <w:highlight w:val="none"/>
              </w:rPr>
              <w:t>、”中的“资格后审材料相关格式文件”内的：关于资格文件的声明函、磋商响应供应商一般情况表。</w:t>
            </w:r>
          </w:p>
        </w:tc>
        <w:tc>
          <w:tcPr>
            <w:tcW w:w="1701" w:type="dxa"/>
            <w:vAlign w:val="center"/>
          </w:tcPr>
          <w:p>
            <w:pPr>
              <w:spacing w:line="420" w:lineRule="exact"/>
              <w:rPr>
                <w:rFonts w:ascii="宋体" w:hAnsi="宋体" w:eastAsia="宋体"/>
                <w:color w:val="auto"/>
                <w:sz w:val="24"/>
                <w:szCs w:val="24"/>
                <w:highlight w:val="none"/>
              </w:rPr>
            </w:pPr>
          </w:p>
        </w:tc>
      </w:tr>
    </w:tbl>
    <w:p>
      <w:pPr>
        <w:adjustRightInd w:val="0"/>
        <w:snapToGrid w:val="0"/>
        <w:spacing w:line="42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供应商：（加盖供应商公章）</w:t>
      </w:r>
    </w:p>
    <w:p>
      <w:pPr>
        <w:adjustRightInd w:val="0"/>
        <w:snapToGrid w:val="0"/>
        <w:spacing w:line="42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w:t>
      </w:r>
      <w:r>
        <w:rPr>
          <w:rFonts w:ascii="宋体" w:hAnsi="宋体" w:eastAsia="宋体" w:cs="宋体"/>
          <w:color w:val="auto"/>
          <w:sz w:val="24"/>
          <w:szCs w:val="24"/>
          <w:highlight w:val="none"/>
        </w:rPr>
        <w:t xml:space="preserve"> </w:t>
      </w:r>
    </w:p>
    <w:p>
      <w:pPr>
        <w:adjustRightInd w:val="0"/>
        <w:snapToGrid w:val="0"/>
        <w:spacing w:line="42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日期：</w:t>
      </w:r>
    </w:p>
    <w:p>
      <w:pPr>
        <w:adjustRightInd w:val="0"/>
        <w:snapToGrid w:val="0"/>
        <w:spacing w:line="420" w:lineRule="exact"/>
        <w:ind w:left="2" w:firstLine="482" w:firstLineChars="201"/>
        <w:rPr>
          <w:rFonts w:ascii="宋体" w:hAnsi="宋体" w:eastAsia="宋体"/>
          <w:color w:val="auto"/>
          <w:sz w:val="24"/>
          <w:szCs w:val="24"/>
          <w:highlight w:val="none"/>
        </w:rPr>
      </w:pPr>
      <w:r>
        <w:rPr>
          <w:rFonts w:hint="eastAsia" w:ascii="宋体" w:hAnsi="宋体" w:eastAsia="宋体" w:cs="宋体"/>
          <w:color w:val="auto"/>
          <w:sz w:val="24"/>
          <w:szCs w:val="24"/>
          <w:highlight w:val="none"/>
        </w:rPr>
        <w:t>注：</w:t>
      </w:r>
    </w:p>
    <w:p>
      <w:pPr>
        <w:adjustRightInd w:val="0"/>
        <w:snapToGrid w:val="0"/>
        <w:spacing w:line="420" w:lineRule="exact"/>
        <w:ind w:left="2" w:firstLine="482" w:firstLineChars="201"/>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）以上由供应商填写，作为提供的“资格后审材料文件”</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内的资料首页清单目录。</w:t>
      </w:r>
    </w:p>
    <w:p>
      <w:pPr>
        <w:adjustRightInd w:val="0"/>
        <w:snapToGrid w:val="0"/>
        <w:spacing w:line="420" w:lineRule="exact"/>
        <w:ind w:left="2" w:firstLine="482" w:firstLineChars="201"/>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）所有资格证明复印件、相关的格式文件及表格，须加盖公章装订成册，正本</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份副本</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份，供审查及留存！</w:t>
      </w:r>
    </w:p>
    <w:p>
      <w:pPr>
        <w:adjustRightInd w:val="0"/>
        <w:snapToGrid w:val="0"/>
        <w:spacing w:line="420" w:lineRule="exact"/>
        <w:ind w:left="2" w:firstLine="482" w:firstLineChars="201"/>
        <w:rPr>
          <w:rFonts w:ascii="黑体" w:hAnsi="黑体" w:eastAsia="黑体"/>
          <w:color w:val="auto"/>
          <w:sz w:val="24"/>
          <w:szCs w:val="24"/>
          <w:highlight w:val="none"/>
        </w:rPr>
      </w:pPr>
    </w:p>
    <w:p>
      <w:pPr>
        <w:adjustRightInd w:val="0"/>
        <w:snapToGrid w:val="0"/>
        <w:spacing w:line="420" w:lineRule="exact"/>
        <w:ind w:left="2" w:firstLine="482" w:firstLineChars="201"/>
        <w:rPr>
          <w:rFonts w:ascii="黑体" w:hAnsi="黑体" w:eastAsia="黑体"/>
          <w:color w:val="auto"/>
          <w:sz w:val="24"/>
          <w:szCs w:val="24"/>
          <w:highlight w:val="none"/>
        </w:rPr>
      </w:pPr>
    </w:p>
    <w:p>
      <w:pPr>
        <w:pStyle w:val="44"/>
        <w:rPr>
          <w:color w:val="auto"/>
          <w:highlight w:val="none"/>
        </w:rPr>
      </w:pPr>
    </w:p>
    <w:p>
      <w:pPr>
        <w:pStyle w:val="44"/>
        <w:rPr>
          <w:color w:val="auto"/>
          <w:highlight w:val="none"/>
        </w:rPr>
      </w:pPr>
    </w:p>
    <w:p>
      <w:pPr>
        <w:pStyle w:val="44"/>
        <w:rPr>
          <w:color w:val="auto"/>
          <w:highlight w:val="none"/>
        </w:rPr>
      </w:pPr>
    </w:p>
    <w:p>
      <w:pPr>
        <w:pStyle w:val="44"/>
        <w:rPr>
          <w:color w:val="auto"/>
          <w:highlight w:val="none"/>
        </w:rPr>
      </w:pPr>
    </w:p>
    <w:p>
      <w:pPr>
        <w:pStyle w:val="44"/>
        <w:rPr>
          <w:color w:val="auto"/>
          <w:highlight w:val="none"/>
        </w:rPr>
      </w:pPr>
    </w:p>
    <w:p>
      <w:pPr>
        <w:pStyle w:val="44"/>
        <w:rPr>
          <w:color w:val="auto"/>
          <w:highlight w:val="none"/>
        </w:rPr>
      </w:pPr>
    </w:p>
    <w:p>
      <w:pPr>
        <w:pStyle w:val="44"/>
        <w:rPr>
          <w:color w:val="auto"/>
          <w:highlight w:val="none"/>
        </w:rPr>
      </w:pPr>
    </w:p>
    <w:p>
      <w:pPr>
        <w:adjustRightInd w:val="0"/>
        <w:snapToGrid w:val="0"/>
        <w:spacing w:line="420" w:lineRule="exact"/>
        <w:ind w:firstLine="424" w:firstLineChars="176"/>
        <w:outlineLvl w:val="3"/>
        <w:rPr>
          <w:rFonts w:ascii="宋体" w:hAnsi="宋体" w:eastAsia="宋体" w:cs="宋体"/>
          <w:b/>
          <w:bCs/>
          <w:color w:val="auto"/>
          <w:sz w:val="24"/>
          <w:szCs w:val="24"/>
          <w:highlight w:val="none"/>
        </w:rPr>
      </w:pPr>
    </w:p>
    <w:p>
      <w:pPr>
        <w:adjustRightInd w:val="0"/>
        <w:snapToGrid w:val="0"/>
        <w:spacing w:line="420" w:lineRule="exact"/>
        <w:ind w:firstLine="424" w:firstLineChars="176"/>
        <w:outlineLvl w:val="3"/>
        <w:rPr>
          <w:rFonts w:ascii="宋体" w:hAnsi="宋体" w:eastAsia="宋体"/>
          <w:b/>
          <w:bCs/>
          <w:color w:val="auto"/>
          <w:sz w:val="24"/>
          <w:szCs w:val="24"/>
          <w:highlight w:val="none"/>
        </w:rPr>
      </w:pPr>
      <w:r>
        <w:rPr>
          <w:rFonts w:ascii="宋体" w:hAnsi="宋体" w:eastAsia="宋体" w:cs="宋体"/>
          <w:b/>
          <w:bCs/>
          <w:color w:val="auto"/>
          <w:sz w:val="24"/>
          <w:szCs w:val="24"/>
          <w:highlight w:val="none"/>
        </w:rPr>
        <w:t>A.2</w:t>
      </w:r>
      <w:r>
        <w:rPr>
          <w:rFonts w:hint="eastAsia" w:ascii="宋体" w:hAnsi="宋体" w:eastAsia="宋体" w:cs="宋体"/>
          <w:b/>
          <w:bCs/>
          <w:color w:val="auto"/>
          <w:sz w:val="24"/>
          <w:szCs w:val="24"/>
          <w:highlight w:val="none"/>
        </w:rPr>
        <w:t>、资格后审材料相关格式文件</w:t>
      </w:r>
    </w:p>
    <w:p>
      <w:pPr>
        <w:snapToGrid w:val="0"/>
        <w:spacing w:line="420" w:lineRule="exact"/>
        <w:jc w:val="center"/>
        <w:outlineLvl w:val="4"/>
        <w:rPr>
          <w:rFonts w:ascii="宋体" w:hAnsi="宋体" w:eastAsia="宋体"/>
          <w:b/>
          <w:bCs/>
          <w:color w:val="auto"/>
          <w:sz w:val="24"/>
          <w:szCs w:val="24"/>
          <w:highlight w:val="none"/>
        </w:rPr>
      </w:pPr>
      <w:r>
        <w:rPr>
          <w:rFonts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rPr>
        <w:t>法定代表人身份证明</w:t>
      </w:r>
    </w:p>
    <w:p>
      <w:pPr>
        <w:snapToGrid w:val="0"/>
        <w:spacing w:line="42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南通</w:t>
      </w:r>
      <w:r>
        <w:rPr>
          <w:rFonts w:hint="eastAsia" w:ascii="宋体" w:hAnsi="宋体" w:eastAsia="宋体" w:cs="宋体"/>
          <w:color w:val="auto"/>
          <w:sz w:val="24"/>
          <w:szCs w:val="24"/>
          <w:highlight w:val="none"/>
          <w:lang w:val="en-US" w:eastAsia="zh-CN"/>
        </w:rPr>
        <w:t>市委老干部局</w:t>
      </w:r>
      <w:r>
        <w:rPr>
          <w:rFonts w:hint="eastAsia" w:ascii="宋体" w:hAnsi="宋体" w:eastAsia="宋体" w:cs="宋体"/>
          <w:color w:val="auto"/>
          <w:sz w:val="24"/>
          <w:szCs w:val="24"/>
          <w:highlight w:val="none"/>
        </w:rPr>
        <w:t>：</w:t>
      </w:r>
    </w:p>
    <w:p>
      <w:pPr>
        <w:snapToGrid w:val="0"/>
        <w:spacing w:line="420" w:lineRule="exact"/>
        <w:jc w:val="center"/>
        <w:rPr>
          <w:rFonts w:ascii="宋体" w:hAnsi="宋体" w:eastAsia="宋体"/>
          <w:color w:val="auto"/>
          <w:sz w:val="24"/>
          <w:szCs w:val="24"/>
          <w:highlight w:val="none"/>
        </w:rPr>
      </w:pP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先生／女士：</w:t>
      </w:r>
      <w:r>
        <w:rPr>
          <w:rFonts w:hint="eastAsia" w:ascii="宋体" w:hAnsi="宋体" w:eastAsia="宋体" w:cs="宋体"/>
          <w:color w:val="auto"/>
          <w:sz w:val="24"/>
          <w:szCs w:val="24"/>
          <w:highlight w:val="none"/>
        </w:rPr>
        <w:t>现任我单位</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职务，为法定代表人，特此证明。</w:t>
      </w:r>
    </w:p>
    <w:p>
      <w:pPr>
        <w:snapToGrid w:val="0"/>
        <w:spacing w:line="420" w:lineRule="exact"/>
        <w:jc w:val="left"/>
        <w:rPr>
          <w:rFonts w:ascii="宋体" w:hAnsi="宋体" w:eastAsia="宋体"/>
          <w:color w:val="auto"/>
          <w:sz w:val="24"/>
          <w:szCs w:val="24"/>
          <w:highlight w:val="none"/>
          <w:u w:val="single"/>
        </w:rPr>
      </w:pPr>
      <w:r>
        <w:rPr>
          <w:rFonts w:hint="eastAsia" w:ascii="宋体" w:hAnsi="宋体" w:eastAsia="宋体" w:cs="宋体"/>
          <w:color w:val="auto"/>
          <w:sz w:val="24"/>
          <w:szCs w:val="24"/>
          <w:highlight w:val="none"/>
        </w:rPr>
        <w:t>身份证号码：</w:t>
      </w:r>
    </w:p>
    <w:p>
      <w:pPr>
        <w:snapToGrid w:val="0"/>
        <w:spacing w:line="420" w:lineRule="exact"/>
        <w:ind w:firstLine="484" w:firstLineChars="202"/>
        <w:jc w:val="right"/>
        <w:rPr>
          <w:rFonts w:ascii="宋体" w:hAnsi="宋体" w:eastAsia="宋体"/>
          <w:color w:val="auto"/>
          <w:sz w:val="24"/>
          <w:szCs w:val="24"/>
          <w:highlight w:val="none"/>
        </w:rPr>
      </w:pPr>
      <w:r>
        <w:rPr>
          <w:rFonts w:hint="eastAsia" w:ascii="宋体" w:hAnsi="宋体" w:eastAsia="宋体" w:cs="宋体"/>
          <w:color w:val="auto"/>
          <w:sz w:val="24"/>
          <w:szCs w:val="24"/>
          <w:highlight w:val="none"/>
        </w:rPr>
        <w:t>供应商（盖章）</w:t>
      </w:r>
    </w:p>
    <w:p>
      <w:pPr>
        <w:snapToGrid w:val="0"/>
        <w:spacing w:line="420" w:lineRule="exact"/>
        <w:ind w:firstLine="484" w:firstLineChars="202"/>
        <w:jc w:val="right"/>
        <w:rPr>
          <w:rFonts w:ascii="宋体" w:hAnsi="宋体" w:eastAsia="宋体"/>
          <w:color w:val="auto"/>
          <w:sz w:val="24"/>
          <w:szCs w:val="24"/>
          <w:highlight w:val="none"/>
        </w:rPr>
      </w:pP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日</w:t>
      </w:r>
    </w:p>
    <w:p>
      <w:pPr>
        <w:snapToGrid w:val="0"/>
        <w:spacing w:line="420" w:lineRule="exact"/>
        <w:ind w:firstLine="484" w:firstLineChars="202"/>
        <w:jc w:val="right"/>
        <w:rPr>
          <w:rFonts w:ascii="宋体" w:hAnsi="宋体" w:eastAsia="宋体"/>
          <w:color w:val="auto"/>
          <w:sz w:val="24"/>
          <w:szCs w:val="24"/>
          <w:highlight w:val="none"/>
        </w:rPr>
      </w:pPr>
    </w:p>
    <w:p>
      <w:pPr>
        <w:snapToGrid w:val="0"/>
        <w:spacing w:line="42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注：提供法定代表人的身份证复印件并加盖公章</w:t>
      </w:r>
    </w:p>
    <w:p>
      <w:pPr>
        <w:snapToGrid w:val="0"/>
        <w:spacing w:line="420" w:lineRule="exact"/>
        <w:jc w:val="center"/>
        <w:rPr>
          <w:rFonts w:ascii="宋体" w:hAnsi="宋体" w:eastAsia="宋体"/>
          <w:color w:val="auto"/>
          <w:sz w:val="24"/>
          <w:szCs w:val="24"/>
          <w:highlight w:val="none"/>
        </w:rPr>
      </w:pPr>
    </w:p>
    <w:p>
      <w:pPr>
        <w:snapToGrid w:val="0"/>
        <w:spacing w:line="420" w:lineRule="exact"/>
        <w:jc w:val="center"/>
        <w:outlineLvl w:val="4"/>
        <w:rPr>
          <w:rFonts w:ascii="宋体" w:hAnsi="宋体" w:eastAsia="宋体"/>
          <w:b/>
          <w:bCs/>
          <w:color w:val="auto"/>
          <w:sz w:val="24"/>
          <w:szCs w:val="24"/>
          <w:highlight w:val="none"/>
        </w:rPr>
      </w:pPr>
      <w:r>
        <w:rPr>
          <w:rFonts w:ascii="宋体" w:hAnsi="宋体" w:eastAsia="宋体" w:cs="宋体"/>
          <w:b/>
          <w:bCs/>
          <w:color w:val="auto"/>
          <w:sz w:val="24"/>
          <w:szCs w:val="24"/>
          <w:highlight w:val="none"/>
        </w:rPr>
        <w:br w:type="page"/>
      </w:r>
      <w:r>
        <w:rPr>
          <w:rFonts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rPr>
        <w:t>法定代表人授权委托书</w:t>
      </w:r>
    </w:p>
    <w:p>
      <w:pPr>
        <w:snapToGrid w:val="0"/>
        <w:spacing w:line="42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南通</w:t>
      </w:r>
      <w:r>
        <w:rPr>
          <w:rFonts w:hint="eastAsia" w:ascii="宋体" w:hAnsi="宋体" w:eastAsia="宋体" w:cs="宋体"/>
          <w:color w:val="auto"/>
          <w:sz w:val="24"/>
          <w:szCs w:val="24"/>
          <w:highlight w:val="none"/>
          <w:lang w:val="en-US" w:eastAsia="zh-CN"/>
        </w:rPr>
        <w:t>市委老干部局</w:t>
      </w:r>
      <w:r>
        <w:rPr>
          <w:rFonts w:hint="eastAsia" w:ascii="宋体" w:hAnsi="宋体" w:eastAsia="宋体" w:cs="宋体"/>
          <w:color w:val="auto"/>
          <w:sz w:val="24"/>
          <w:szCs w:val="24"/>
          <w:highlight w:val="none"/>
        </w:rPr>
        <w:t>：</w:t>
      </w:r>
    </w:p>
    <w:p>
      <w:pPr>
        <w:snapToGrid w:val="0"/>
        <w:spacing w:line="420" w:lineRule="exact"/>
        <w:ind w:firstLine="484" w:firstLineChars="202"/>
        <w:rPr>
          <w:rFonts w:ascii="宋体" w:hAnsi="宋体" w:eastAsia="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（供应商名称）的法定代表人，现授权委托</w:t>
      </w:r>
      <w:r>
        <w:rPr>
          <w:rFonts w:hint="eastAsia" w:ascii="宋体" w:hAnsi="宋体" w:eastAsia="宋体" w:cs="宋体"/>
          <w:color w:val="auto"/>
          <w:sz w:val="24"/>
          <w:szCs w:val="24"/>
          <w:highlight w:val="none"/>
          <w:u w:val="single"/>
        </w:rPr>
        <w:t>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（姓名）为我公司为代理人，以本公司的名义参加本项目的磋商响应活动。被委托受权人在开标、评标、合同谈判过程中所签署的一切文件和处理与之有关的一切事务，我及我公司均予以承认。</w:t>
      </w:r>
    </w:p>
    <w:p>
      <w:pPr>
        <w:snapToGrid w:val="0"/>
        <w:spacing w:line="420" w:lineRule="exact"/>
        <w:ind w:firstLine="484" w:firstLineChars="202"/>
        <w:rPr>
          <w:rFonts w:ascii="宋体" w:hAnsi="宋体" w:eastAsia="宋体"/>
          <w:color w:val="auto"/>
          <w:sz w:val="24"/>
          <w:szCs w:val="24"/>
          <w:highlight w:val="none"/>
        </w:rPr>
      </w:pPr>
      <w:r>
        <w:rPr>
          <w:rFonts w:hint="eastAsia" w:ascii="宋体" w:hAnsi="宋体" w:eastAsia="宋体" w:cs="宋体"/>
          <w:color w:val="auto"/>
          <w:sz w:val="24"/>
          <w:szCs w:val="24"/>
          <w:highlight w:val="none"/>
        </w:rPr>
        <w:t>委托代理人无转委权。特此委托。</w:t>
      </w:r>
    </w:p>
    <w:p>
      <w:pPr>
        <w:snapToGrid w:val="0"/>
        <w:spacing w:line="420" w:lineRule="exact"/>
        <w:ind w:firstLine="972" w:firstLineChars="405"/>
        <w:rPr>
          <w:rFonts w:ascii="宋体" w:hAnsi="宋体" w:eastAsia="宋体"/>
          <w:color w:val="auto"/>
          <w:sz w:val="24"/>
          <w:szCs w:val="24"/>
          <w:highlight w:val="none"/>
        </w:rPr>
      </w:pPr>
    </w:p>
    <w:p>
      <w:pPr>
        <w:snapToGrid w:val="0"/>
        <w:spacing w:line="420" w:lineRule="exact"/>
        <w:ind w:firstLine="972" w:firstLineChars="405"/>
        <w:rPr>
          <w:rFonts w:ascii="宋体" w:hAnsi="宋体" w:eastAsia="宋体"/>
          <w:color w:val="auto"/>
          <w:sz w:val="24"/>
          <w:szCs w:val="24"/>
          <w:highlight w:val="none"/>
        </w:rPr>
      </w:pPr>
      <w:r>
        <w:rPr>
          <w:rFonts w:hint="eastAsia" w:ascii="宋体" w:hAnsi="宋体" w:eastAsia="宋体" w:cs="宋体"/>
          <w:color w:val="auto"/>
          <w:sz w:val="24"/>
          <w:szCs w:val="24"/>
          <w:highlight w:val="none"/>
        </w:rPr>
        <w:t>法定代表人签字：</w:t>
      </w:r>
    </w:p>
    <w:p>
      <w:pPr>
        <w:snapToGrid w:val="0"/>
        <w:spacing w:line="420" w:lineRule="exact"/>
        <w:ind w:firstLine="972" w:firstLineChars="405"/>
        <w:rPr>
          <w:rFonts w:ascii="宋体" w:hAnsi="宋体" w:eastAsia="宋体"/>
          <w:color w:val="auto"/>
          <w:sz w:val="24"/>
          <w:szCs w:val="24"/>
          <w:highlight w:val="none"/>
        </w:rPr>
      </w:pPr>
      <w:r>
        <w:rPr>
          <w:rFonts w:hint="eastAsia" w:ascii="宋体" w:hAnsi="宋体" w:eastAsia="宋体" w:cs="宋体"/>
          <w:color w:val="auto"/>
          <w:sz w:val="24"/>
          <w:szCs w:val="24"/>
          <w:highlight w:val="none"/>
        </w:rPr>
        <w:t>委托代理人身份证号：</w:t>
      </w:r>
    </w:p>
    <w:p>
      <w:pPr>
        <w:snapToGrid w:val="0"/>
        <w:spacing w:line="420" w:lineRule="exact"/>
        <w:ind w:firstLine="972" w:firstLineChars="405"/>
        <w:rPr>
          <w:rFonts w:ascii="宋体" w:hAnsi="宋体" w:eastAsia="宋体"/>
          <w:color w:val="auto"/>
          <w:sz w:val="24"/>
          <w:szCs w:val="24"/>
          <w:highlight w:val="none"/>
        </w:rPr>
      </w:pPr>
      <w:r>
        <w:rPr>
          <w:rFonts w:hint="eastAsia" w:ascii="宋体" w:hAnsi="宋体" w:eastAsia="宋体" w:cs="宋体"/>
          <w:color w:val="auto"/>
          <w:sz w:val="24"/>
          <w:szCs w:val="24"/>
          <w:highlight w:val="none"/>
        </w:rPr>
        <w:t>委托代理人签字：</w:t>
      </w:r>
    </w:p>
    <w:p>
      <w:pPr>
        <w:snapToGrid w:val="0"/>
        <w:spacing w:line="420" w:lineRule="exact"/>
        <w:ind w:firstLine="484" w:firstLineChars="202"/>
        <w:jc w:val="right"/>
        <w:rPr>
          <w:rFonts w:ascii="宋体" w:hAnsi="宋体" w:eastAsia="宋体"/>
          <w:color w:val="auto"/>
          <w:sz w:val="24"/>
          <w:szCs w:val="24"/>
          <w:highlight w:val="none"/>
        </w:rPr>
      </w:pPr>
      <w:r>
        <w:rPr>
          <w:rFonts w:hint="eastAsia" w:ascii="宋体" w:hAnsi="宋体" w:eastAsia="宋体" w:cs="宋体"/>
          <w:color w:val="auto"/>
          <w:sz w:val="24"/>
          <w:szCs w:val="24"/>
          <w:highlight w:val="none"/>
        </w:rPr>
        <w:t>供应商（盖章）</w:t>
      </w:r>
    </w:p>
    <w:p>
      <w:pPr>
        <w:snapToGrid w:val="0"/>
        <w:spacing w:line="420" w:lineRule="exact"/>
        <w:ind w:firstLine="484" w:firstLineChars="202"/>
        <w:jc w:val="right"/>
        <w:rPr>
          <w:rFonts w:ascii="宋体" w:hAnsi="宋体" w:eastAsia="宋体"/>
          <w:color w:val="auto"/>
          <w:sz w:val="24"/>
          <w:szCs w:val="24"/>
          <w:highlight w:val="none"/>
        </w:rPr>
      </w:pP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日</w:t>
      </w:r>
    </w:p>
    <w:p>
      <w:pPr>
        <w:snapToGrid w:val="0"/>
        <w:spacing w:line="420" w:lineRule="exact"/>
        <w:ind w:firstLine="484" w:firstLineChars="202"/>
        <w:jc w:val="right"/>
        <w:rPr>
          <w:rFonts w:ascii="宋体" w:hAnsi="宋体" w:eastAsia="宋体"/>
          <w:color w:val="auto"/>
          <w:sz w:val="24"/>
          <w:szCs w:val="24"/>
          <w:highlight w:val="none"/>
        </w:rPr>
      </w:pPr>
    </w:p>
    <w:p>
      <w:pPr>
        <w:snapToGrid w:val="0"/>
        <w:spacing w:line="420" w:lineRule="exact"/>
        <w:ind w:firstLine="321" w:firstLineChars="134"/>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注：提供委托代理人的身份证复印件盖公章，将身份证原件带至开标现场备查</w:t>
      </w:r>
    </w:p>
    <w:p>
      <w:pPr>
        <w:snapToGrid w:val="0"/>
        <w:spacing w:line="420" w:lineRule="exact"/>
        <w:ind w:firstLine="321" w:firstLineChars="134"/>
        <w:jc w:val="center"/>
        <w:rPr>
          <w:rFonts w:ascii="宋体" w:hAnsi="宋体" w:eastAsia="宋体"/>
          <w:color w:val="auto"/>
          <w:sz w:val="24"/>
          <w:szCs w:val="24"/>
          <w:highlight w:val="none"/>
        </w:rPr>
      </w:pPr>
    </w:p>
    <w:p>
      <w:pPr>
        <w:snapToGrid w:val="0"/>
        <w:spacing w:line="420" w:lineRule="exact"/>
        <w:jc w:val="center"/>
        <w:outlineLvl w:val="4"/>
        <w:rPr>
          <w:rFonts w:ascii="宋体" w:hAnsi="宋体" w:eastAsia="宋体"/>
          <w:b/>
          <w:bCs/>
          <w:color w:val="auto"/>
          <w:sz w:val="24"/>
          <w:szCs w:val="24"/>
          <w:highlight w:val="none"/>
        </w:rPr>
      </w:pPr>
      <w:r>
        <w:rPr>
          <w:rFonts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rPr>
        <w:t>无重大违法记录声明</w:t>
      </w:r>
    </w:p>
    <w:p>
      <w:pPr>
        <w:snapToGrid w:val="0"/>
        <w:spacing w:line="42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南通</w:t>
      </w:r>
      <w:r>
        <w:rPr>
          <w:rFonts w:hint="eastAsia" w:ascii="宋体" w:hAnsi="宋体" w:eastAsia="宋体" w:cs="宋体"/>
          <w:color w:val="auto"/>
          <w:sz w:val="24"/>
          <w:szCs w:val="24"/>
          <w:highlight w:val="none"/>
          <w:lang w:val="en-US" w:eastAsia="zh-CN"/>
        </w:rPr>
        <w:t>市委老干部局</w:t>
      </w:r>
      <w:r>
        <w:rPr>
          <w:rFonts w:hint="eastAsia" w:ascii="宋体" w:hAnsi="宋体" w:eastAsia="宋体" w:cs="宋体"/>
          <w:color w:val="auto"/>
          <w:sz w:val="24"/>
          <w:szCs w:val="24"/>
          <w:highlight w:val="none"/>
        </w:rPr>
        <w:t>：</w:t>
      </w:r>
    </w:p>
    <w:p>
      <w:pPr>
        <w:spacing w:line="420" w:lineRule="exact"/>
        <w:rPr>
          <w:rFonts w:ascii="宋体" w:hAnsi="宋体" w:eastAsia="宋体"/>
          <w:color w:val="auto"/>
          <w:sz w:val="24"/>
          <w:szCs w:val="24"/>
          <w:highlight w:val="none"/>
        </w:rPr>
      </w:pP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我单位（供应商名称）郑重声明：</w:t>
      </w:r>
    </w:p>
    <w:p>
      <w:pPr>
        <w:spacing w:line="420" w:lineRule="exact"/>
        <w:rPr>
          <w:rFonts w:ascii="宋体" w:hAnsi="宋体" w:eastAsia="宋体"/>
          <w:color w:val="auto"/>
          <w:sz w:val="24"/>
          <w:szCs w:val="24"/>
          <w:highlight w:val="none"/>
        </w:rPr>
      </w:pP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参加政府采购活动前</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年内在经营活动中</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（在下划线上如实填写：有或没有）重大违法记录。</w:t>
      </w:r>
    </w:p>
    <w:p>
      <w:pPr>
        <w:spacing w:line="420" w:lineRule="exact"/>
        <w:ind w:firstLine="480"/>
        <w:rPr>
          <w:rFonts w:ascii="宋体" w:hAnsi="宋体" w:eastAsia="宋体"/>
          <w:color w:val="auto"/>
          <w:sz w:val="24"/>
          <w:szCs w:val="24"/>
          <w:highlight w:val="none"/>
        </w:rPr>
      </w:pPr>
      <w:r>
        <w:rPr>
          <w:rFonts w:hint="eastAsia" w:ascii="宋体" w:hAnsi="宋体" w:eastAsia="宋体" w:cs="宋体"/>
          <w:color w:val="auto"/>
          <w:sz w:val="24"/>
          <w:szCs w:val="24"/>
          <w:highlight w:val="none"/>
        </w:rPr>
        <w:t>（说明：政府采购法第二十二条第一款第五项所称重大违法记录，是指供应商因违法经营受到刑事处罚或者责令停产停业、吊销许可证或者执照、较大数额罚款等行政处罚。）</w:t>
      </w:r>
    </w:p>
    <w:p>
      <w:pPr>
        <w:spacing w:line="420" w:lineRule="exact"/>
        <w:rPr>
          <w:rFonts w:ascii="宋体" w:hAnsi="宋体" w:eastAsia="宋体"/>
          <w:color w:val="auto"/>
          <w:sz w:val="24"/>
          <w:szCs w:val="24"/>
          <w:highlight w:val="none"/>
        </w:rPr>
      </w:pP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声明人：（公章）</w:t>
      </w:r>
    </w:p>
    <w:p>
      <w:pPr>
        <w:spacing w:line="420" w:lineRule="exact"/>
        <w:jc w:val="right"/>
        <w:rPr>
          <w:rFonts w:ascii="宋体" w:hAnsi="宋体" w:eastAsia="宋体"/>
          <w:color w:val="auto"/>
          <w:sz w:val="24"/>
          <w:szCs w:val="24"/>
          <w:highlight w:val="none"/>
        </w:rPr>
      </w:pP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日</w:t>
      </w:r>
    </w:p>
    <w:p>
      <w:pPr>
        <w:snapToGrid w:val="0"/>
        <w:spacing w:line="420" w:lineRule="exact"/>
        <w:jc w:val="center"/>
        <w:outlineLvl w:val="4"/>
        <w:rPr>
          <w:rFonts w:ascii="宋体" w:hAnsi="宋体" w:eastAsia="宋体" w:cs="宋体"/>
          <w:b/>
          <w:bCs/>
          <w:color w:val="auto"/>
          <w:sz w:val="24"/>
          <w:szCs w:val="24"/>
          <w:highlight w:val="none"/>
        </w:rPr>
      </w:pPr>
    </w:p>
    <w:p>
      <w:pPr>
        <w:snapToGrid w:val="0"/>
        <w:spacing w:line="420" w:lineRule="exact"/>
        <w:jc w:val="center"/>
        <w:outlineLvl w:val="4"/>
        <w:rPr>
          <w:rFonts w:ascii="宋体" w:hAnsi="宋体" w:eastAsia="宋体" w:cs="宋体"/>
          <w:b/>
          <w:bCs/>
          <w:color w:val="auto"/>
          <w:sz w:val="24"/>
          <w:szCs w:val="24"/>
          <w:highlight w:val="none"/>
        </w:rPr>
      </w:pPr>
    </w:p>
    <w:p>
      <w:pPr>
        <w:snapToGrid w:val="0"/>
        <w:spacing w:line="420" w:lineRule="exact"/>
        <w:jc w:val="center"/>
        <w:outlineLvl w:val="4"/>
        <w:rPr>
          <w:rFonts w:ascii="宋体" w:hAnsi="宋体" w:eastAsia="宋体"/>
          <w:color w:val="auto"/>
          <w:sz w:val="24"/>
          <w:szCs w:val="24"/>
          <w:highlight w:val="none"/>
        </w:rPr>
      </w:pPr>
      <w:r>
        <w:rPr>
          <w:rFonts w:ascii="宋体" w:hAnsi="宋体" w:eastAsia="宋体" w:cs="宋体"/>
          <w:b/>
          <w:bCs/>
          <w:color w:val="auto"/>
          <w:sz w:val="24"/>
          <w:szCs w:val="24"/>
          <w:highlight w:val="none"/>
        </w:rPr>
        <w:br w:type="page"/>
      </w:r>
      <w:r>
        <w:rPr>
          <w:rFonts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rPr>
        <w:t>关于资格文件的声明函</w:t>
      </w:r>
    </w:p>
    <w:p>
      <w:pPr>
        <w:snapToGrid w:val="0"/>
        <w:spacing w:line="42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南通</w:t>
      </w:r>
      <w:r>
        <w:rPr>
          <w:rFonts w:hint="eastAsia" w:ascii="宋体" w:hAnsi="宋体" w:eastAsia="宋体" w:cs="宋体"/>
          <w:color w:val="auto"/>
          <w:sz w:val="24"/>
          <w:szCs w:val="24"/>
          <w:highlight w:val="none"/>
          <w:lang w:val="en-US" w:eastAsia="zh-CN"/>
        </w:rPr>
        <w:t>市委老干部局</w:t>
      </w:r>
      <w:r>
        <w:rPr>
          <w:rFonts w:hint="eastAsia" w:ascii="宋体" w:hAnsi="宋体" w:eastAsia="宋体" w:cs="宋体"/>
          <w:color w:val="auto"/>
          <w:sz w:val="24"/>
          <w:szCs w:val="24"/>
          <w:highlight w:val="none"/>
        </w:rPr>
        <w:t>：</w:t>
      </w:r>
    </w:p>
    <w:p>
      <w:pPr>
        <w:overflowPunct w:val="0"/>
        <w:adjustRightInd w:val="0"/>
        <w:spacing w:line="420" w:lineRule="exact"/>
        <w:ind w:firstLine="660"/>
        <w:jc w:val="left"/>
        <w:textAlignment w:val="baseline"/>
        <w:rPr>
          <w:rFonts w:ascii="宋体" w:hAnsi="宋体" w:eastAsia="宋体"/>
          <w:color w:val="auto"/>
          <w:sz w:val="24"/>
          <w:szCs w:val="24"/>
          <w:highlight w:val="none"/>
        </w:rPr>
      </w:pPr>
      <w:r>
        <w:rPr>
          <w:rFonts w:hint="eastAsia" w:ascii="宋体" w:hAnsi="宋体" w:eastAsia="宋体" w:cs="宋体"/>
          <w:color w:val="auto"/>
          <w:sz w:val="24"/>
          <w:szCs w:val="24"/>
          <w:highlight w:val="none"/>
        </w:rPr>
        <w:t>本公司愿就由贵公司组织实施的的招标活动进行投标。本公司所提交的磋商响应文件中所有关于投标资格的文件、证明和陈述均是真实的、准确的。若与真实情况不符，本公司愿意承担由此而产生的一切后果。</w:t>
      </w:r>
    </w:p>
    <w:p>
      <w:pPr>
        <w:overflowPunct w:val="0"/>
        <w:adjustRightInd w:val="0"/>
        <w:spacing w:line="420" w:lineRule="exact"/>
        <w:ind w:firstLine="420"/>
        <w:jc w:val="right"/>
        <w:textAlignment w:val="baseline"/>
        <w:rPr>
          <w:rFonts w:ascii="宋体" w:hAnsi="宋体" w:eastAsia="宋体"/>
          <w:color w:val="auto"/>
          <w:sz w:val="24"/>
          <w:szCs w:val="24"/>
          <w:highlight w:val="none"/>
        </w:rPr>
      </w:pPr>
      <w:r>
        <w:rPr>
          <w:rFonts w:hint="eastAsia" w:ascii="宋体" w:hAnsi="宋体" w:eastAsia="宋体" w:cs="宋体"/>
          <w:color w:val="auto"/>
          <w:sz w:val="24"/>
          <w:szCs w:val="24"/>
          <w:highlight w:val="none"/>
        </w:rPr>
        <w:t>（供应商）法定代表人或委托代理人（签字或盖章）：</w:t>
      </w:r>
    </w:p>
    <w:p>
      <w:pPr>
        <w:overflowPunct w:val="0"/>
        <w:adjustRightInd w:val="0"/>
        <w:spacing w:line="420" w:lineRule="exact"/>
        <w:ind w:left="1700" w:firstLine="425"/>
        <w:jc w:val="left"/>
        <w:textAlignment w:val="baseline"/>
        <w:rPr>
          <w:rFonts w:ascii="宋体" w:hAnsi="宋体" w:eastAsia="宋体"/>
          <w:color w:val="auto"/>
          <w:sz w:val="24"/>
          <w:szCs w:val="24"/>
          <w:highlight w:val="none"/>
        </w:rPr>
      </w:pP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（供应商）公章：</w:t>
      </w:r>
    </w:p>
    <w:p>
      <w:pPr>
        <w:wordWrap w:val="0"/>
        <w:overflowPunct w:val="0"/>
        <w:adjustRightInd w:val="0"/>
        <w:spacing w:line="420" w:lineRule="exact"/>
        <w:ind w:firstLine="420"/>
        <w:jc w:val="right"/>
        <w:textAlignment w:val="baseline"/>
        <w:rPr>
          <w:rFonts w:ascii="宋体" w:hAnsi="宋体" w:eastAsia="宋体"/>
          <w:color w:val="auto"/>
          <w:sz w:val="24"/>
          <w:szCs w:val="24"/>
          <w:highlight w:val="none"/>
        </w:rPr>
      </w:pPr>
      <w:r>
        <w:rPr>
          <w:rFonts w:hint="eastAsia" w:ascii="宋体" w:hAnsi="宋体" w:eastAsia="宋体" w:cs="宋体"/>
          <w:color w:val="auto"/>
          <w:sz w:val="24"/>
          <w:szCs w:val="24"/>
          <w:highlight w:val="none"/>
        </w:rPr>
        <w:t>年</w:t>
      </w:r>
      <w:r>
        <w:rPr>
          <w:rFonts w:ascii="宋体" w:hAnsi="宋体" w:eastAsia="宋体"/>
          <w:color w:val="auto"/>
          <w:sz w:val="24"/>
          <w:szCs w:val="24"/>
          <w:highlight w:val="none"/>
        </w:rPr>
        <w:tab/>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日</w:t>
      </w:r>
    </w:p>
    <w:p>
      <w:pPr>
        <w:overflowPunct w:val="0"/>
        <w:adjustRightInd w:val="0"/>
        <w:spacing w:line="420" w:lineRule="exact"/>
        <w:ind w:firstLine="420"/>
        <w:jc w:val="right"/>
        <w:textAlignment w:val="baseline"/>
        <w:rPr>
          <w:rFonts w:ascii="宋体" w:hAnsi="宋体" w:eastAsia="宋体"/>
          <w:color w:val="auto"/>
          <w:sz w:val="24"/>
          <w:szCs w:val="24"/>
          <w:highlight w:val="none"/>
        </w:rPr>
      </w:pPr>
    </w:p>
    <w:p>
      <w:pPr>
        <w:snapToGrid w:val="0"/>
        <w:spacing w:line="420" w:lineRule="exact"/>
        <w:jc w:val="center"/>
        <w:outlineLvl w:val="4"/>
        <w:rPr>
          <w:rFonts w:ascii="宋体" w:hAnsi="宋体" w:eastAsia="宋体"/>
          <w:b/>
          <w:bCs/>
          <w:color w:val="auto"/>
          <w:sz w:val="24"/>
          <w:szCs w:val="24"/>
          <w:highlight w:val="none"/>
        </w:rPr>
      </w:pPr>
      <w:r>
        <w:rPr>
          <w:rFonts w:ascii="宋体" w:hAnsi="宋体" w:eastAsia="宋体" w:cs="宋体"/>
          <w:b/>
          <w:bCs/>
          <w:color w:val="auto"/>
          <w:sz w:val="24"/>
          <w:szCs w:val="24"/>
          <w:highlight w:val="none"/>
        </w:rPr>
        <w:br w:type="page"/>
      </w:r>
      <w:r>
        <w:rPr>
          <w:rFonts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rPr>
        <w:t>供应商一般情况</w:t>
      </w:r>
    </w:p>
    <w:tbl>
      <w:tblPr>
        <w:tblStyle w:val="4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3402"/>
        <w:gridCol w:w="70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92" w:type="dxa"/>
            <w:vAlign w:val="center"/>
          </w:tcPr>
          <w:p>
            <w:pPr>
              <w:tabs>
                <w:tab w:val="left" w:pos="993"/>
              </w:tabs>
              <w:spacing w:line="42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w:t>
            </w:r>
          </w:p>
        </w:tc>
        <w:tc>
          <w:tcPr>
            <w:tcW w:w="8505" w:type="dxa"/>
            <w:gridSpan w:val="3"/>
            <w:vAlign w:val="center"/>
          </w:tcPr>
          <w:p>
            <w:pPr>
              <w:tabs>
                <w:tab w:val="left" w:pos="993"/>
              </w:tabs>
              <w:spacing w:line="42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2" w:type="dxa"/>
            <w:vAlign w:val="center"/>
          </w:tcPr>
          <w:p>
            <w:pPr>
              <w:tabs>
                <w:tab w:val="left" w:pos="993"/>
              </w:tabs>
              <w:spacing w:line="42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w:t>
            </w:r>
          </w:p>
        </w:tc>
        <w:tc>
          <w:tcPr>
            <w:tcW w:w="8505" w:type="dxa"/>
            <w:gridSpan w:val="3"/>
            <w:vAlign w:val="center"/>
          </w:tcPr>
          <w:p>
            <w:pPr>
              <w:tabs>
                <w:tab w:val="left" w:pos="993"/>
              </w:tabs>
              <w:spacing w:line="42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92" w:type="dxa"/>
            <w:vAlign w:val="center"/>
          </w:tcPr>
          <w:p>
            <w:pPr>
              <w:tabs>
                <w:tab w:val="left" w:pos="993"/>
              </w:tabs>
              <w:spacing w:line="42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w:t>
            </w:r>
          </w:p>
        </w:tc>
        <w:tc>
          <w:tcPr>
            <w:tcW w:w="8505" w:type="dxa"/>
            <w:gridSpan w:val="3"/>
            <w:vAlign w:val="center"/>
          </w:tcPr>
          <w:p>
            <w:pPr>
              <w:tabs>
                <w:tab w:val="left" w:pos="993"/>
              </w:tabs>
              <w:spacing w:line="42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当地分支机构地址：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92" w:type="dxa"/>
            <w:vAlign w:val="center"/>
          </w:tcPr>
          <w:p>
            <w:pPr>
              <w:tabs>
                <w:tab w:val="left" w:pos="993"/>
              </w:tabs>
              <w:spacing w:line="42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w:t>
            </w:r>
          </w:p>
        </w:tc>
        <w:tc>
          <w:tcPr>
            <w:tcW w:w="3402" w:type="dxa"/>
            <w:vAlign w:val="center"/>
          </w:tcPr>
          <w:p>
            <w:pPr>
              <w:tabs>
                <w:tab w:val="left" w:pos="993"/>
              </w:tabs>
              <w:spacing w:line="42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电话：</w:t>
            </w:r>
          </w:p>
        </w:tc>
        <w:tc>
          <w:tcPr>
            <w:tcW w:w="5103" w:type="dxa"/>
            <w:gridSpan w:val="2"/>
            <w:vAlign w:val="center"/>
          </w:tcPr>
          <w:p>
            <w:pPr>
              <w:tabs>
                <w:tab w:val="left" w:pos="993"/>
              </w:tabs>
              <w:spacing w:line="42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92" w:type="dxa"/>
            <w:vAlign w:val="center"/>
          </w:tcPr>
          <w:p>
            <w:pPr>
              <w:tabs>
                <w:tab w:val="left" w:pos="993"/>
              </w:tabs>
              <w:spacing w:line="42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w:t>
            </w:r>
          </w:p>
        </w:tc>
        <w:tc>
          <w:tcPr>
            <w:tcW w:w="3402" w:type="dxa"/>
            <w:vAlign w:val="center"/>
          </w:tcPr>
          <w:p>
            <w:pPr>
              <w:tabs>
                <w:tab w:val="left" w:pos="993"/>
              </w:tabs>
              <w:spacing w:line="42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传真：</w:t>
            </w:r>
          </w:p>
        </w:tc>
        <w:tc>
          <w:tcPr>
            <w:tcW w:w="5103" w:type="dxa"/>
            <w:gridSpan w:val="2"/>
            <w:vAlign w:val="center"/>
          </w:tcPr>
          <w:p>
            <w:pPr>
              <w:tabs>
                <w:tab w:val="left" w:pos="993"/>
              </w:tabs>
              <w:spacing w:line="42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92" w:type="dxa"/>
            <w:vAlign w:val="center"/>
          </w:tcPr>
          <w:p>
            <w:pPr>
              <w:tabs>
                <w:tab w:val="left" w:pos="993"/>
              </w:tabs>
              <w:spacing w:line="42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6</w:t>
            </w:r>
            <w:r>
              <w:rPr>
                <w:rFonts w:hint="eastAsia" w:ascii="宋体" w:hAnsi="宋体" w:eastAsia="宋体" w:cs="宋体"/>
                <w:color w:val="auto"/>
                <w:sz w:val="24"/>
                <w:szCs w:val="24"/>
                <w:highlight w:val="none"/>
              </w:rPr>
              <w:t>）</w:t>
            </w:r>
          </w:p>
        </w:tc>
        <w:tc>
          <w:tcPr>
            <w:tcW w:w="3402" w:type="dxa"/>
            <w:vAlign w:val="center"/>
          </w:tcPr>
          <w:p>
            <w:pPr>
              <w:tabs>
                <w:tab w:val="left" w:pos="993"/>
              </w:tabs>
              <w:spacing w:line="42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注册地：</w:t>
            </w:r>
          </w:p>
        </w:tc>
        <w:tc>
          <w:tcPr>
            <w:tcW w:w="5103" w:type="dxa"/>
            <w:gridSpan w:val="2"/>
            <w:vAlign w:val="center"/>
          </w:tcPr>
          <w:p>
            <w:pPr>
              <w:tabs>
                <w:tab w:val="left" w:pos="993"/>
              </w:tabs>
              <w:spacing w:line="42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92" w:type="dxa"/>
            <w:vAlign w:val="center"/>
          </w:tcPr>
          <w:p>
            <w:pPr>
              <w:tabs>
                <w:tab w:val="left" w:pos="993"/>
              </w:tabs>
              <w:spacing w:line="42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7</w:t>
            </w:r>
            <w:r>
              <w:rPr>
                <w:rFonts w:hint="eastAsia" w:ascii="宋体" w:hAnsi="宋体" w:eastAsia="宋体" w:cs="宋体"/>
                <w:color w:val="auto"/>
                <w:sz w:val="24"/>
                <w:szCs w:val="24"/>
                <w:highlight w:val="none"/>
              </w:rPr>
              <w:t>）</w:t>
            </w:r>
          </w:p>
        </w:tc>
        <w:tc>
          <w:tcPr>
            <w:tcW w:w="8505" w:type="dxa"/>
            <w:gridSpan w:val="3"/>
            <w:vAlign w:val="center"/>
          </w:tcPr>
          <w:p>
            <w:pPr>
              <w:tabs>
                <w:tab w:val="left" w:pos="993"/>
              </w:tabs>
              <w:spacing w:line="42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公司资质等级证书号（如有，请附有关证书的复印件）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92" w:type="dxa"/>
            <w:vAlign w:val="center"/>
          </w:tcPr>
          <w:p>
            <w:pPr>
              <w:tabs>
                <w:tab w:val="left" w:pos="993"/>
              </w:tabs>
              <w:spacing w:line="42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8</w:t>
            </w:r>
            <w:r>
              <w:rPr>
                <w:rFonts w:hint="eastAsia" w:ascii="宋体" w:hAnsi="宋体" w:eastAsia="宋体" w:cs="宋体"/>
                <w:color w:val="auto"/>
                <w:sz w:val="24"/>
                <w:szCs w:val="24"/>
                <w:highlight w:val="none"/>
              </w:rPr>
              <w:t>）</w:t>
            </w:r>
          </w:p>
        </w:tc>
        <w:tc>
          <w:tcPr>
            <w:tcW w:w="8505" w:type="dxa"/>
            <w:gridSpan w:val="3"/>
            <w:vAlign w:val="center"/>
          </w:tcPr>
          <w:p>
            <w:pPr>
              <w:tabs>
                <w:tab w:val="left" w:pos="993"/>
              </w:tabs>
              <w:spacing w:line="42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公司</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（是否通过，何种）</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质量保证体系认证（如通过请附相关证书复印件，没有请忽略该项）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92" w:type="dxa"/>
            <w:vAlign w:val="center"/>
          </w:tcPr>
          <w:p>
            <w:pPr>
              <w:tabs>
                <w:tab w:val="left" w:pos="993"/>
              </w:tabs>
              <w:spacing w:line="42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9</w:t>
            </w:r>
            <w:r>
              <w:rPr>
                <w:rFonts w:hint="eastAsia" w:ascii="宋体" w:hAnsi="宋体" w:eastAsia="宋体" w:cs="宋体"/>
                <w:color w:val="auto"/>
                <w:sz w:val="24"/>
                <w:szCs w:val="24"/>
                <w:highlight w:val="none"/>
              </w:rPr>
              <w:t>）</w:t>
            </w:r>
          </w:p>
        </w:tc>
        <w:tc>
          <w:tcPr>
            <w:tcW w:w="8505" w:type="dxa"/>
            <w:gridSpan w:val="3"/>
            <w:vAlign w:val="center"/>
          </w:tcPr>
          <w:p>
            <w:pPr>
              <w:tabs>
                <w:tab w:val="left" w:pos="993"/>
              </w:tabs>
              <w:spacing w:line="42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经营范围：</w:t>
            </w:r>
          </w:p>
          <w:p>
            <w:pPr>
              <w:tabs>
                <w:tab w:val="left" w:pos="993"/>
              </w:tabs>
              <w:spacing w:line="420" w:lineRule="exact"/>
              <w:rPr>
                <w:rFonts w:ascii="宋体" w:hAnsi="宋体" w:eastAsia="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w:t>
            </w:r>
          </w:p>
          <w:p>
            <w:pPr>
              <w:tabs>
                <w:tab w:val="left" w:pos="993"/>
              </w:tabs>
              <w:spacing w:line="420" w:lineRule="exact"/>
              <w:rPr>
                <w:rFonts w:ascii="宋体" w:hAnsi="宋体" w:eastAsia="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w:t>
            </w:r>
          </w:p>
          <w:p>
            <w:pPr>
              <w:tabs>
                <w:tab w:val="left" w:pos="993"/>
              </w:tabs>
              <w:spacing w:line="420" w:lineRule="exact"/>
              <w:rPr>
                <w:rFonts w:ascii="宋体" w:hAnsi="宋体" w:eastAsia="宋体"/>
                <w:color w:val="auto"/>
                <w:sz w:val="24"/>
                <w:szCs w:val="24"/>
                <w:highlight w:val="none"/>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92" w:type="dxa"/>
            <w:vAlign w:val="center"/>
          </w:tcPr>
          <w:p>
            <w:pPr>
              <w:tabs>
                <w:tab w:val="left" w:pos="993"/>
              </w:tabs>
              <w:spacing w:line="42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10</w:t>
            </w:r>
            <w:r>
              <w:rPr>
                <w:rFonts w:hint="eastAsia" w:ascii="宋体" w:hAnsi="宋体" w:eastAsia="宋体" w:cs="宋体"/>
                <w:color w:val="auto"/>
                <w:sz w:val="24"/>
                <w:szCs w:val="24"/>
                <w:highlight w:val="none"/>
              </w:rPr>
              <w:t>）</w:t>
            </w:r>
          </w:p>
        </w:tc>
        <w:tc>
          <w:tcPr>
            <w:tcW w:w="4111" w:type="dxa"/>
            <w:gridSpan w:val="2"/>
            <w:vAlign w:val="center"/>
          </w:tcPr>
          <w:p>
            <w:pPr>
              <w:tabs>
                <w:tab w:val="left" w:pos="993"/>
              </w:tabs>
              <w:spacing w:line="42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供应商从事类似磋商项目的年数</w:t>
            </w:r>
          </w:p>
        </w:tc>
        <w:tc>
          <w:tcPr>
            <w:tcW w:w="4394" w:type="dxa"/>
            <w:vAlign w:val="center"/>
          </w:tcPr>
          <w:p>
            <w:pPr>
              <w:tabs>
                <w:tab w:val="left" w:pos="993"/>
              </w:tabs>
              <w:spacing w:line="420" w:lineRule="exact"/>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92" w:type="dxa"/>
            <w:vAlign w:val="center"/>
          </w:tcPr>
          <w:p>
            <w:pPr>
              <w:tabs>
                <w:tab w:val="left" w:pos="993"/>
              </w:tabs>
              <w:spacing w:line="42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11</w:t>
            </w:r>
            <w:r>
              <w:rPr>
                <w:rFonts w:hint="eastAsia" w:ascii="宋体" w:hAnsi="宋体" w:eastAsia="宋体" w:cs="宋体"/>
                <w:color w:val="auto"/>
                <w:sz w:val="24"/>
                <w:szCs w:val="24"/>
                <w:highlight w:val="none"/>
              </w:rPr>
              <w:t>）</w:t>
            </w:r>
          </w:p>
        </w:tc>
        <w:tc>
          <w:tcPr>
            <w:tcW w:w="8505" w:type="dxa"/>
            <w:gridSpan w:val="3"/>
            <w:vAlign w:val="center"/>
          </w:tcPr>
          <w:p>
            <w:pPr>
              <w:tabs>
                <w:tab w:val="left" w:pos="993"/>
              </w:tabs>
              <w:spacing w:line="42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其他需要说明的情况，可自行添加</w:t>
            </w:r>
          </w:p>
        </w:tc>
      </w:tr>
    </w:tbl>
    <w:p>
      <w:pPr>
        <w:kinsoku w:val="0"/>
        <w:topLinePunct/>
        <w:snapToGrid w:val="0"/>
        <w:spacing w:line="42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r>
        <w:rPr>
          <w:rFonts w:ascii="宋体" w:hAnsi="宋体" w:eastAsia="宋体" w:cs="宋体"/>
          <w:color w:val="auto"/>
          <w:sz w:val="24"/>
          <w:szCs w:val="24"/>
          <w:highlight w:val="none"/>
        </w:rPr>
        <w:t xml:space="preserve">             </w:t>
      </w:r>
    </w:p>
    <w:p>
      <w:pPr>
        <w:kinsoku w:val="0"/>
        <w:topLinePunct/>
        <w:snapToGrid w:val="0"/>
        <w:spacing w:line="42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法定代表人或委托代理人（签字）：</w:t>
      </w:r>
    </w:p>
    <w:p>
      <w:pPr>
        <w:adjustRightInd w:val="0"/>
        <w:snapToGrid w:val="0"/>
        <w:spacing w:line="420" w:lineRule="exact"/>
        <w:jc w:val="left"/>
        <w:rPr>
          <w:rFonts w:ascii="宋体" w:hAnsi="宋体" w:eastAsia="宋体"/>
          <w:color w:val="auto"/>
          <w:sz w:val="24"/>
          <w:szCs w:val="24"/>
          <w:highlight w:val="none"/>
        </w:rPr>
      </w:pPr>
      <w:r>
        <w:rPr>
          <w:rFonts w:hint="eastAsia" w:ascii="宋体" w:hAnsi="宋体" w:eastAsia="宋体" w:cs="宋体"/>
          <w:color w:val="auto"/>
          <w:sz w:val="24"/>
          <w:szCs w:val="24"/>
          <w:highlight w:val="none"/>
        </w:rPr>
        <w:t>日期：</w:t>
      </w:r>
    </w:p>
    <w:p>
      <w:pPr>
        <w:adjustRightInd w:val="0"/>
        <w:snapToGrid w:val="0"/>
        <w:spacing w:line="42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注：本表不是格式化表格，供应商可根据需要，自行添加删除。</w:t>
      </w:r>
    </w:p>
    <w:p>
      <w:pPr>
        <w:snapToGrid w:val="0"/>
        <w:spacing w:line="420" w:lineRule="exact"/>
        <w:outlineLvl w:val="2"/>
        <w:rPr>
          <w:rFonts w:ascii="宋体" w:hAnsi="宋体" w:eastAsia="宋体" w:cs="宋体"/>
          <w:b/>
          <w:bCs/>
          <w:color w:val="auto"/>
          <w:sz w:val="24"/>
          <w:szCs w:val="24"/>
          <w:highlight w:val="none"/>
        </w:rPr>
      </w:pPr>
    </w:p>
    <w:p>
      <w:pPr>
        <w:snapToGrid w:val="0"/>
        <w:spacing w:line="420" w:lineRule="exact"/>
        <w:outlineLvl w:val="2"/>
        <w:rPr>
          <w:rFonts w:ascii="宋体" w:hAnsi="宋体" w:eastAsia="宋体"/>
          <w:b/>
          <w:bCs/>
          <w:color w:val="auto"/>
          <w:sz w:val="24"/>
          <w:szCs w:val="24"/>
          <w:highlight w:val="none"/>
        </w:rPr>
      </w:pPr>
      <w:r>
        <w:rPr>
          <w:rFonts w:ascii="宋体" w:hAnsi="宋体" w:eastAsia="宋体" w:cs="宋体"/>
          <w:b/>
          <w:bCs/>
          <w:color w:val="auto"/>
          <w:sz w:val="24"/>
          <w:szCs w:val="24"/>
          <w:highlight w:val="none"/>
        </w:rPr>
        <w:br w:type="page"/>
      </w:r>
      <w:r>
        <w:rPr>
          <w:rFonts w:ascii="宋体" w:hAnsi="宋体" w:eastAsia="宋体" w:cs="宋体"/>
          <w:b/>
          <w:bCs/>
          <w:color w:val="auto"/>
          <w:sz w:val="24"/>
          <w:szCs w:val="24"/>
          <w:highlight w:val="none"/>
        </w:rPr>
        <w:t>B</w:t>
      </w:r>
      <w:r>
        <w:rPr>
          <w:rFonts w:hint="eastAsia" w:ascii="宋体" w:hAnsi="宋体" w:eastAsia="宋体" w:cs="宋体"/>
          <w:b/>
          <w:bCs/>
          <w:color w:val="auto"/>
          <w:sz w:val="24"/>
          <w:szCs w:val="24"/>
          <w:highlight w:val="none"/>
        </w:rPr>
        <w:t>、技术标文件</w:t>
      </w:r>
      <w:r>
        <w:rPr>
          <w:rFonts w:hint="eastAsia" w:ascii="宋体" w:hAnsi="宋体" w:eastAsia="宋体" w:cs="宋体"/>
          <w:color w:val="auto"/>
          <w:sz w:val="24"/>
          <w:szCs w:val="24"/>
          <w:highlight w:val="none"/>
        </w:rPr>
        <w:t>（一个密封包，内含：</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份“正本”和</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份“副本”。）</w:t>
      </w:r>
    </w:p>
    <w:p>
      <w:pPr>
        <w:snapToGrid w:val="0"/>
        <w:spacing w:beforeLines="100" w:line="420" w:lineRule="exact"/>
        <w:jc w:val="center"/>
        <w:outlineLvl w:val="3"/>
        <w:rPr>
          <w:rFonts w:ascii="宋体" w:hAnsi="宋体" w:eastAsia="宋体"/>
          <w:b/>
          <w:bCs/>
          <w:color w:val="auto"/>
          <w:sz w:val="24"/>
          <w:szCs w:val="24"/>
          <w:highlight w:val="none"/>
        </w:rPr>
      </w:pPr>
      <w:r>
        <w:rPr>
          <w:rFonts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rPr>
        <w:t>竞争性磋商响应函</w:t>
      </w:r>
    </w:p>
    <w:p>
      <w:pPr>
        <w:snapToGrid w:val="0"/>
        <w:spacing w:line="42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南通</w:t>
      </w:r>
      <w:r>
        <w:rPr>
          <w:rFonts w:hint="eastAsia" w:ascii="宋体" w:hAnsi="宋体" w:eastAsia="宋体" w:cs="宋体"/>
          <w:color w:val="auto"/>
          <w:sz w:val="24"/>
          <w:szCs w:val="24"/>
          <w:highlight w:val="none"/>
          <w:lang w:val="en-US" w:eastAsia="zh-CN"/>
        </w:rPr>
        <w:t>市委老干部局</w:t>
      </w:r>
      <w:r>
        <w:rPr>
          <w:rFonts w:hint="eastAsia" w:ascii="宋体" w:hAnsi="宋体" w:eastAsia="宋体" w:cs="宋体"/>
          <w:color w:val="auto"/>
          <w:sz w:val="24"/>
          <w:szCs w:val="24"/>
          <w:highlight w:val="none"/>
        </w:rPr>
        <w:t>：</w:t>
      </w:r>
    </w:p>
    <w:p>
      <w:pPr>
        <w:snapToGrid w:val="0"/>
        <w:spacing w:line="420" w:lineRule="exact"/>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rPr>
        <w:t>依据贵单位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（招标项目名称</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项目竞争性磋商的邀请，我方授权</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（职务）为全权代表参加该项目的磋商响应工作，全权处理本次磋商的有关事宜。同时，我公司声明如下：</w:t>
      </w:r>
    </w:p>
    <w:p>
      <w:pPr>
        <w:snapToGrid w:val="0"/>
        <w:spacing w:line="420" w:lineRule="exact"/>
        <w:ind w:firstLine="494" w:firstLineChars="20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）我方愿意按照磋商文件的一切要求，提供完成该项目的全部内容，我方的磋商响应报价包括完成本项目</w:t>
      </w:r>
      <w:r>
        <w:rPr>
          <w:rFonts w:hint="eastAsia" w:ascii="宋体" w:hAnsi="宋体" w:eastAsia="宋体" w:cs="宋体"/>
          <w:color w:val="auto"/>
          <w:sz w:val="24"/>
          <w:szCs w:val="24"/>
          <w:highlight w:val="none"/>
          <w:lang w:val="en-US" w:eastAsia="zh-CN"/>
        </w:rPr>
        <w:t>的专家、文学统筹及客串演员费用、</w:t>
      </w:r>
      <w:r>
        <w:rPr>
          <w:rFonts w:hint="eastAsia" w:ascii="宋体" w:hAnsi="宋体" w:eastAsia="宋体" w:cs="宋体"/>
          <w:color w:val="auto"/>
          <w:sz w:val="24"/>
          <w:szCs w:val="24"/>
          <w:highlight w:val="none"/>
        </w:rPr>
        <w:t>设计费、材料费、</w:t>
      </w:r>
      <w:r>
        <w:rPr>
          <w:rFonts w:hint="eastAsia" w:ascii="宋体" w:hAnsi="宋体" w:eastAsia="宋体" w:cs="宋体"/>
          <w:color w:val="auto"/>
          <w:sz w:val="24"/>
          <w:szCs w:val="24"/>
          <w:highlight w:val="none"/>
          <w:lang w:val="en-US" w:eastAsia="zh-CN"/>
        </w:rPr>
        <w:t>拍摄费</w:t>
      </w:r>
      <w:r>
        <w:rPr>
          <w:rFonts w:hint="eastAsia" w:ascii="宋体" w:hAnsi="宋体" w:eastAsia="宋体" w:cs="宋体"/>
          <w:color w:val="auto"/>
          <w:sz w:val="24"/>
          <w:szCs w:val="24"/>
          <w:highlight w:val="none"/>
        </w:rPr>
        <w:t>、员工工资、保险、管理费、利润、税金及合同实施过程中的不可预见等所有费用，即招标物交付使用的所有服务费用。</w:t>
      </w:r>
      <w:r>
        <w:rPr>
          <w:rFonts w:ascii="宋体" w:hAnsi="宋体" w:eastAsia="宋体" w:cs="宋体"/>
          <w:color w:val="auto"/>
          <w:sz w:val="24"/>
          <w:szCs w:val="24"/>
          <w:highlight w:val="none"/>
        </w:rPr>
        <w:t xml:space="preserve"> </w:t>
      </w:r>
    </w:p>
    <w:p>
      <w:pPr>
        <w:snapToGrid w:val="0"/>
        <w:spacing w:line="420" w:lineRule="exact"/>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）我方已经详细审查了全部磋商文件，我方已完全清晰理解磋商文件的要求，不存在任何含糊不清和误解之处，同意放弃对这些文件所提出的异议和质疑的权利。</w:t>
      </w:r>
    </w:p>
    <w:p>
      <w:pPr>
        <w:snapToGrid w:val="0"/>
        <w:spacing w:line="420" w:lineRule="exact"/>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）我方承诺提供的磋商响应文件的有效期，从磋商响应文件接收截止之日算起，</w:t>
      </w:r>
      <w:r>
        <w:rPr>
          <w:rFonts w:ascii="宋体" w:hAnsi="宋体" w:eastAsia="宋体" w:cs="宋体"/>
          <w:color w:val="auto"/>
          <w:sz w:val="24"/>
          <w:szCs w:val="24"/>
          <w:highlight w:val="none"/>
        </w:rPr>
        <w:t>45</w:t>
      </w:r>
      <w:r>
        <w:rPr>
          <w:rFonts w:hint="eastAsia" w:ascii="宋体" w:hAnsi="宋体" w:eastAsia="宋体" w:cs="宋体"/>
          <w:color w:val="auto"/>
          <w:sz w:val="24"/>
          <w:szCs w:val="24"/>
          <w:highlight w:val="none"/>
        </w:rPr>
        <w:t>个日历天内保持有效。</w:t>
      </w:r>
    </w:p>
    <w:p>
      <w:pPr>
        <w:snapToGrid w:val="0"/>
        <w:spacing w:line="420" w:lineRule="exact"/>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）我方愿意提供招标采购单位在磋商文件中要求的所有资料。</w:t>
      </w:r>
    </w:p>
    <w:p>
      <w:pPr>
        <w:snapToGrid w:val="0"/>
        <w:spacing w:line="420" w:lineRule="exact"/>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）我方承诺在本次磋商响应中提供的一切文件，无论是原件还是复印件均真实有效，绝无任何虚假、伪造和夸大的成份。否则，愿承担相应的后果和法律责任。</w:t>
      </w:r>
    </w:p>
    <w:p>
      <w:pPr>
        <w:snapToGrid w:val="0"/>
        <w:spacing w:line="420" w:lineRule="exact"/>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6</w:t>
      </w:r>
      <w:r>
        <w:rPr>
          <w:rFonts w:hint="eastAsia" w:ascii="宋体" w:hAnsi="宋体" w:eastAsia="宋体" w:cs="宋体"/>
          <w:color w:val="auto"/>
          <w:sz w:val="24"/>
          <w:szCs w:val="24"/>
          <w:highlight w:val="none"/>
        </w:rPr>
        <w:t>）我方尊重评审小组所作评定结果，同时也清楚理解到磋商报价最低并非意味着必定获得中标资格。</w:t>
      </w:r>
    </w:p>
    <w:p>
      <w:pPr>
        <w:snapToGrid w:val="0"/>
        <w:spacing w:line="420" w:lineRule="exact"/>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7</w:t>
      </w:r>
      <w:r>
        <w:rPr>
          <w:rFonts w:hint="eastAsia" w:ascii="宋体" w:hAnsi="宋体" w:eastAsia="宋体" w:cs="宋体"/>
          <w:color w:val="auto"/>
          <w:sz w:val="24"/>
          <w:szCs w:val="24"/>
          <w:highlight w:val="none"/>
        </w:rPr>
        <w:t>）一旦我方成交，我方将根据磋商文件的规定，严格履行磋商文件中规定的每一项要求，按期、按质、按量履行合同的义务。</w:t>
      </w:r>
    </w:p>
    <w:p>
      <w:pPr>
        <w:snapToGrid w:val="0"/>
        <w:spacing w:line="420" w:lineRule="exact"/>
        <w:ind w:firstLine="2400" w:firstLineChars="1000"/>
        <w:jc w:val="right"/>
        <w:rPr>
          <w:rFonts w:ascii="宋体" w:hAnsi="宋体" w:eastAsia="宋体"/>
          <w:color w:val="auto"/>
          <w:sz w:val="24"/>
          <w:szCs w:val="24"/>
          <w:highlight w:val="none"/>
        </w:rPr>
      </w:pPr>
      <w:bookmarkStart w:id="15" w:name="_Hlk527940236"/>
      <w:r>
        <w:rPr>
          <w:rFonts w:hint="eastAsia" w:ascii="宋体" w:hAnsi="宋体" w:eastAsia="宋体" w:cs="宋体"/>
          <w:color w:val="auto"/>
          <w:sz w:val="24"/>
          <w:szCs w:val="24"/>
          <w:highlight w:val="none"/>
        </w:rPr>
        <w:t>供应商：（加盖公章）</w:t>
      </w:r>
    </w:p>
    <w:p>
      <w:pPr>
        <w:snapToGrid w:val="0"/>
        <w:spacing w:line="420" w:lineRule="exact"/>
        <w:ind w:firstLine="2400" w:firstLineChars="1000"/>
        <w:jc w:val="right"/>
        <w:rPr>
          <w:rFonts w:ascii="宋体" w:hAnsi="宋体" w:eastAsia="宋体"/>
          <w:color w:val="auto"/>
          <w:sz w:val="24"/>
          <w:szCs w:val="24"/>
          <w:highlight w:val="none"/>
        </w:rPr>
      </w:pPr>
      <w:r>
        <w:rPr>
          <w:rFonts w:hint="eastAsia" w:ascii="宋体" w:hAnsi="宋体" w:eastAsia="宋体" w:cs="宋体"/>
          <w:color w:val="auto"/>
          <w:sz w:val="24"/>
          <w:szCs w:val="24"/>
          <w:highlight w:val="none"/>
        </w:rPr>
        <w:t>法定代表人或委托代理人：（签字）</w:t>
      </w:r>
    </w:p>
    <w:p>
      <w:pPr>
        <w:snapToGrid w:val="0"/>
        <w:spacing w:line="420" w:lineRule="exact"/>
        <w:jc w:val="right"/>
        <w:rPr>
          <w:rFonts w:ascii="宋体" w:hAnsi="宋体" w:eastAsia="宋体"/>
          <w:color w:val="auto"/>
          <w:sz w:val="24"/>
          <w:szCs w:val="24"/>
          <w:highlight w:val="none"/>
        </w:rPr>
      </w:pPr>
      <w:r>
        <w:rPr>
          <w:rFonts w:hint="eastAsia" w:ascii="宋体" w:hAnsi="宋体" w:eastAsia="宋体" w:cs="宋体"/>
          <w:color w:val="auto"/>
          <w:sz w:val="24"/>
          <w:szCs w:val="24"/>
          <w:highlight w:val="none"/>
        </w:rPr>
        <w:t>二○二</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日</w:t>
      </w:r>
    </w:p>
    <w:bookmarkEnd w:id="15"/>
    <w:p>
      <w:pPr>
        <w:spacing w:line="420" w:lineRule="exact"/>
        <w:ind w:firstLine="246" w:firstLineChars="102"/>
        <w:jc w:val="center"/>
        <w:rPr>
          <w:rFonts w:ascii="宋体" w:hAnsi="宋体" w:eastAsia="宋体"/>
          <w:b/>
          <w:bCs/>
          <w:color w:val="auto"/>
          <w:sz w:val="24"/>
          <w:szCs w:val="24"/>
          <w:highlight w:val="none"/>
        </w:rPr>
      </w:pPr>
    </w:p>
    <w:p>
      <w:pPr>
        <w:rPr>
          <w:color w:val="auto"/>
          <w:highlight w:val="none"/>
        </w:rPr>
      </w:pPr>
    </w:p>
    <w:p>
      <w:pPr>
        <w:spacing w:line="420" w:lineRule="exact"/>
        <w:rPr>
          <w:rFonts w:ascii="宋体" w:hAnsi="宋体" w:eastAsia="宋体"/>
          <w:b/>
          <w:bCs/>
          <w:color w:val="auto"/>
          <w:sz w:val="24"/>
          <w:szCs w:val="24"/>
          <w:highlight w:val="none"/>
        </w:rPr>
      </w:pPr>
    </w:p>
    <w:p>
      <w:pPr>
        <w:spacing w:line="420" w:lineRule="exact"/>
        <w:rPr>
          <w:rFonts w:ascii="宋体" w:hAnsi="宋体" w:eastAsia="宋体"/>
          <w:b/>
          <w:bCs/>
          <w:color w:val="auto"/>
          <w:sz w:val="24"/>
          <w:szCs w:val="24"/>
          <w:highlight w:val="none"/>
        </w:rPr>
      </w:pPr>
    </w:p>
    <w:p>
      <w:pPr>
        <w:spacing w:line="420" w:lineRule="exact"/>
        <w:jc w:val="center"/>
        <w:rPr>
          <w:rFonts w:ascii="宋体" w:hAnsi="宋体" w:eastAsia="宋体" w:cs="宋体"/>
          <w:b/>
          <w:bCs/>
          <w:color w:val="auto"/>
          <w:sz w:val="24"/>
          <w:szCs w:val="24"/>
          <w:highlight w:val="none"/>
        </w:rPr>
      </w:pPr>
    </w:p>
    <w:p>
      <w:pPr>
        <w:pStyle w:val="48"/>
        <w:spacing w:before="120"/>
        <w:ind w:left="0" w:leftChars="0" w:firstLine="0" w:firstLineChars="0"/>
        <w:rPr>
          <w:color w:val="auto"/>
          <w:highlight w:val="none"/>
        </w:rPr>
      </w:pPr>
    </w:p>
    <w:p>
      <w:pPr>
        <w:spacing w:line="420" w:lineRule="exact"/>
        <w:jc w:val="center"/>
        <w:rPr>
          <w:rFonts w:ascii="宋体" w:hAnsi="宋体" w:eastAsia="宋体"/>
          <w:color w:val="auto"/>
          <w:highlight w:val="none"/>
        </w:rPr>
      </w:pPr>
      <w:r>
        <w:rPr>
          <w:rFonts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rPr>
        <w:t>技术标评分涉及到的相关资料</w:t>
      </w:r>
    </w:p>
    <w:p>
      <w:pPr>
        <w:snapToGrid w:val="0"/>
        <w:spacing w:line="420" w:lineRule="exact"/>
        <w:outlineLvl w:val="2"/>
        <w:rPr>
          <w:rFonts w:ascii="宋体" w:hAnsi="宋体" w:eastAsia="宋体"/>
          <w:b/>
          <w:bCs/>
          <w:color w:val="auto"/>
          <w:sz w:val="24"/>
          <w:szCs w:val="24"/>
          <w:highlight w:val="none"/>
        </w:rPr>
      </w:pPr>
    </w:p>
    <w:p>
      <w:pPr>
        <w:snapToGrid w:val="0"/>
        <w:spacing w:line="420" w:lineRule="exact"/>
        <w:outlineLvl w:val="2"/>
        <w:rPr>
          <w:rFonts w:ascii="宋体" w:hAnsi="宋体" w:eastAsia="宋体"/>
          <w:b/>
          <w:bCs/>
          <w:color w:val="auto"/>
          <w:sz w:val="24"/>
          <w:szCs w:val="24"/>
          <w:highlight w:val="none"/>
        </w:rPr>
      </w:pPr>
    </w:p>
    <w:p>
      <w:pPr>
        <w:pStyle w:val="48"/>
        <w:ind w:left="0" w:leftChars="0" w:firstLine="0" w:firstLineChars="0"/>
        <w:rPr>
          <w:color w:val="auto"/>
          <w:highlight w:val="none"/>
        </w:rPr>
      </w:pPr>
    </w:p>
    <w:p>
      <w:pPr>
        <w:pStyle w:val="48"/>
        <w:ind w:left="0" w:leftChars="0" w:firstLine="0" w:firstLineChars="0"/>
        <w:rPr>
          <w:color w:val="auto"/>
          <w:highlight w:val="none"/>
        </w:rPr>
      </w:pPr>
    </w:p>
    <w:p>
      <w:pPr>
        <w:snapToGrid w:val="0"/>
        <w:spacing w:line="420" w:lineRule="exact"/>
        <w:outlineLvl w:val="2"/>
        <w:rPr>
          <w:rFonts w:ascii="宋体" w:hAnsi="宋体" w:eastAsia="宋体"/>
          <w:b/>
          <w:bCs/>
          <w:color w:val="auto"/>
          <w:sz w:val="24"/>
          <w:szCs w:val="24"/>
          <w:highlight w:val="none"/>
        </w:rPr>
      </w:pPr>
      <w:r>
        <w:rPr>
          <w:rFonts w:ascii="宋体" w:hAnsi="宋体" w:eastAsia="宋体" w:cs="宋体"/>
          <w:b/>
          <w:bCs/>
          <w:color w:val="auto"/>
          <w:sz w:val="24"/>
          <w:szCs w:val="24"/>
          <w:highlight w:val="none"/>
        </w:rPr>
        <w:t>C</w:t>
      </w:r>
      <w:r>
        <w:rPr>
          <w:rFonts w:hint="eastAsia" w:ascii="宋体" w:hAnsi="宋体" w:eastAsia="宋体" w:cs="宋体"/>
          <w:b/>
          <w:bCs/>
          <w:color w:val="auto"/>
          <w:sz w:val="24"/>
          <w:szCs w:val="24"/>
          <w:highlight w:val="none"/>
        </w:rPr>
        <w:t>、价格标文件</w:t>
      </w:r>
      <w:r>
        <w:rPr>
          <w:rFonts w:hint="eastAsia" w:ascii="宋体" w:hAnsi="宋体" w:eastAsia="宋体" w:cs="宋体"/>
          <w:color w:val="auto"/>
          <w:sz w:val="24"/>
          <w:szCs w:val="24"/>
          <w:highlight w:val="none"/>
        </w:rPr>
        <w:t>（一个密封包，内含：</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份“正本”和</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份“副本”。）</w:t>
      </w:r>
    </w:p>
    <w:p>
      <w:pPr>
        <w:snapToGrid w:val="0"/>
        <w:spacing w:beforeLines="100" w:line="420" w:lineRule="exact"/>
        <w:jc w:val="center"/>
        <w:outlineLvl w:val="3"/>
        <w:rPr>
          <w:rFonts w:ascii="宋体" w:hAnsi="宋体" w:eastAsia="宋体"/>
          <w:b/>
          <w:bCs/>
          <w:color w:val="auto"/>
          <w:sz w:val="24"/>
          <w:szCs w:val="24"/>
          <w:highlight w:val="none"/>
        </w:rPr>
      </w:pPr>
      <w:r>
        <w:rPr>
          <w:rFonts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rPr>
        <w:t>磋商响应报价（首次）总表（格式表）</w:t>
      </w:r>
    </w:p>
    <w:p>
      <w:pPr>
        <w:snapToGrid w:val="0"/>
        <w:spacing w:line="42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南通市委老干部局视频拍摄项目</w:t>
      </w:r>
    </w:p>
    <w:tbl>
      <w:tblPr>
        <w:tblStyle w:val="4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969" w:type="dxa"/>
            <w:vAlign w:val="center"/>
          </w:tcPr>
          <w:p>
            <w:pPr>
              <w:snapToGrid w:val="0"/>
              <w:spacing w:line="420" w:lineRule="exact"/>
              <w:ind w:left="1133" w:hanging="1132" w:hangingChars="472"/>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项目名称</w:t>
            </w:r>
          </w:p>
        </w:tc>
        <w:tc>
          <w:tcPr>
            <w:tcW w:w="5670" w:type="dxa"/>
            <w:vAlign w:val="center"/>
          </w:tcPr>
          <w:p>
            <w:pPr>
              <w:snapToGrid w:val="0"/>
              <w:spacing w:line="420" w:lineRule="exact"/>
              <w:ind w:left="1133" w:hanging="1132" w:hangingChars="472"/>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报价总价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969" w:type="dxa"/>
            <w:vAlign w:val="center"/>
          </w:tcPr>
          <w:p>
            <w:pPr>
              <w:snapToGrid w:val="0"/>
              <w:spacing w:line="420" w:lineRule="exact"/>
              <w:ind w:left="2"/>
              <w:rPr>
                <w:rFonts w:hint="eastAsia" w:ascii="宋体" w:hAnsi="宋体" w:eastAsia="宋体"/>
                <w:color w:val="auto"/>
                <w:sz w:val="24"/>
                <w:szCs w:val="24"/>
                <w:highlight w:val="none"/>
                <w:lang w:eastAsia="zh-CN"/>
              </w:rPr>
            </w:pPr>
            <w:r>
              <w:rPr>
                <w:rFonts w:hint="eastAsia" w:ascii="宋体" w:hAnsi="宋体" w:eastAsia="宋体" w:cs="宋体"/>
                <w:color w:val="auto"/>
                <w:sz w:val="24"/>
                <w:szCs w:val="24"/>
                <w:highlight w:val="none"/>
                <w:lang w:eastAsia="zh-CN"/>
              </w:rPr>
              <w:t>南通市委老干部局视频拍摄项目</w:t>
            </w:r>
          </w:p>
        </w:tc>
        <w:tc>
          <w:tcPr>
            <w:tcW w:w="5670" w:type="dxa"/>
            <w:vAlign w:val="center"/>
          </w:tcPr>
          <w:p>
            <w:pPr>
              <w:snapToGrid w:val="0"/>
              <w:spacing w:line="420" w:lineRule="exact"/>
              <w:ind w:left="1133" w:hanging="1132" w:hangingChars="472"/>
              <w:rPr>
                <w:rFonts w:ascii="宋体" w:hAnsi="宋体" w:eastAsia="宋体"/>
                <w:color w:val="auto"/>
                <w:sz w:val="24"/>
                <w:szCs w:val="24"/>
                <w:highlight w:val="none"/>
              </w:rPr>
            </w:pPr>
            <w:r>
              <w:rPr>
                <w:rFonts w:hint="eastAsia" w:ascii="宋体" w:hAnsi="宋体" w:eastAsia="宋体" w:cs="宋体"/>
                <w:color w:val="auto"/>
                <w:sz w:val="24"/>
                <w:szCs w:val="24"/>
                <w:highlight w:val="none"/>
              </w:rPr>
              <w:t>人民币大写：</w:t>
            </w:r>
          </w:p>
          <w:p>
            <w:pPr>
              <w:snapToGrid w:val="0"/>
              <w:spacing w:line="420" w:lineRule="exact"/>
              <w:ind w:left="1133" w:hanging="1132" w:hangingChars="472"/>
              <w:rPr>
                <w:rFonts w:ascii="宋体" w:hAnsi="宋体" w:eastAsia="宋体"/>
                <w:color w:val="auto"/>
                <w:sz w:val="24"/>
                <w:szCs w:val="24"/>
                <w:highlight w:val="none"/>
              </w:rPr>
            </w:pPr>
            <w:r>
              <w:rPr>
                <w:rFonts w:hint="eastAsia" w:ascii="宋体" w:hAnsi="宋体" w:eastAsia="宋体" w:cs="宋体"/>
                <w:color w:val="auto"/>
                <w:sz w:val="24"/>
                <w:szCs w:val="24"/>
                <w:highlight w:val="none"/>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969" w:type="dxa"/>
            <w:vAlign w:val="center"/>
          </w:tcPr>
          <w:p>
            <w:pPr>
              <w:snapToGrid w:val="0"/>
              <w:spacing w:line="420" w:lineRule="exact"/>
              <w:ind w:left="2"/>
              <w:rPr>
                <w:rFonts w:ascii="宋体" w:hAnsi="宋体" w:eastAsia="宋体"/>
                <w:color w:val="auto"/>
                <w:sz w:val="24"/>
                <w:szCs w:val="24"/>
                <w:highlight w:val="none"/>
              </w:rPr>
            </w:pPr>
            <w:r>
              <w:rPr>
                <w:rFonts w:hint="eastAsia" w:ascii="宋体" w:hAnsi="宋体" w:eastAsia="宋体" w:cs="宋体"/>
                <w:color w:val="auto"/>
                <w:sz w:val="24"/>
                <w:szCs w:val="24"/>
                <w:highlight w:val="none"/>
              </w:rPr>
              <w:t>商务付款条件</w:t>
            </w:r>
          </w:p>
        </w:tc>
        <w:tc>
          <w:tcPr>
            <w:tcW w:w="5670" w:type="dxa"/>
            <w:vAlign w:val="center"/>
          </w:tcPr>
          <w:p>
            <w:pPr>
              <w:snapToGrid w:val="0"/>
              <w:spacing w:line="420" w:lineRule="exact"/>
              <w:ind w:left="1133" w:hanging="1132" w:hangingChars="472"/>
              <w:rPr>
                <w:rFonts w:ascii="宋体" w:hAnsi="宋体" w:eastAsia="宋体"/>
                <w:color w:val="auto"/>
                <w:sz w:val="24"/>
                <w:szCs w:val="24"/>
                <w:highlight w:val="none"/>
              </w:rPr>
            </w:pPr>
            <w:r>
              <w:rPr>
                <w:rFonts w:hint="eastAsia" w:ascii="宋体" w:hAnsi="宋体" w:eastAsia="宋体" w:cs="宋体"/>
                <w:color w:val="auto"/>
                <w:sz w:val="24"/>
                <w:szCs w:val="24"/>
                <w:highlight w:val="none"/>
              </w:rPr>
              <w:t>完全接受并响应本项目竞争性磋商文件的要求。</w:t>
            </w:r>
          </w:p>
        </w:tc>
      </w:tr>
    </w:tbl>
    <w:p>
      <w:pPr>
        <w:kinsoku w:val="0"/>
        <w:topLinePunct/>
        <w:snapToGrid w:val="0"/>
        <w:spacing w:line="42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r>
        <w:rPr>
          <w:rFonts w:ascii="宋体" w:hAnsi="宋体" w:eastAsia="宋体" w:cs="宋体"/>
          <w:color w:val="auto"/>
          <w:sz w:val="24"/>
          <w:szCs w:val="24"/>
          <w:highlight w:val="none"/>
        </w:rPr>
        <w:t xml:space="preserve">             </w:t>
      </w:r>
    </w:p>
    <w:p>
      <w:pPr>
        <w:kinsoku w:val="0"/>
        <w:topLinePunct/>
        <w:snapToGrid w:val="0"/>
        <w:spacing w:line="42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法定代表人或委托代理人（签字）：</w:t>
      </w:r>
    </w:p>
    <w:p>
      <w:pPr>
        <w:kinsoku w:val="0"/>
        <w:topLinePunct/>
        <w:snapToGrid w:val="0"/>
        <w:spacing w:line="42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日期：</w:t>
      </w:r>
    </w:p>
    <w:p>
      <w:pPr>
        <w:kinsoku w:val="0"/>
        <w:topLinePunct/>
        <w:snapToGrid w:val="0"/>
        <w:spacing w:line="420" w:lineRule="exact"/>
        <w:rPr>
          <w:rFonts w:ascii="宋体" w:hAnsi="宋体" w:eastAsia="宋体"/>
          <w:color w:val="auto"/>
          <w:sz w:val="24"/>
          <w:szCs w:val="24"/>
          <w:highlight w:val="none"/>
        </w:rPr>
      </w:pPr>
    </w:p>
    <w:p>
      <w:pPr>
        <w:snapToGrid w:val="0"/>
        <w:spacing w:line="420" w:lineRule="exact"/>
        <w:ind w:firstLine="496" w:firstLineChars="206"/>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注：</w:t>
      </w:r>
    </w:p>
    <w:p>
      <w:pPr>
        <w:snapToGrid w:val="0"/>
        <w:spacing w:line="420" w:lineRule="exact"/>
        <w:ind w:firstLine="494" w:firstLineChars="206"/>
        <w:rPr>
          <w:rFonts w:ascii="宋体" w:hAnsi="宋体" w:eastAsia="宋体"/>
          <w:color w:val="auto"/>
          <w:sz w:val="24"/>
          <w:szCs w:val="24"/>
          <w:highlight w:val="none"/>
          <w:u w:val="thick" w:color="FF0000"/>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）本表为格式表，不得改动，必须提供。</w:t>
      </w:r>
    </w:p>
    <w:p>
      <w:pPr>
        <w:snapToGrid w:val="0"/>
        <w:spacing w:line="420" w:lineRule="exact"/>
        <w:ind w:firstLine="494" w:firstLineChars="206"/>
        <w:rPr>
          <w:rFonts w:hint="eastAsia" w:ascii="宋体" w:hAnsi="宋体" w:eastAsia="宋体" w:cs="宋体"/>
          <w:color w:val="auto"/>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）响应报价总表内的总价响应：按本竞争性磋商采购文件第二章第八条规定的内容执行。</w:t>
      </w:r>
      <w:r>
        <w:rPr>
          <w:rFonts w:hint="eastAsia" w:ascii="宋体" w:hAnsi="宋体" w:eastAsia="宋体" w:cs="宋体"/>
          <w:color w:val="auto"/>
          <w:highlight w:val="none"/>
        </w:rPr>
        <w:t xml:space="preserve">  </w:t>
      </w:r>
    </w:p>
    <w:p>
      <w:pPr>
        <w:pStyle w:val="48"/>
        <w:spacing w:before="120"/>
        <w:ind w:firstLine="0" w:firstLineChars="0"/>
        <w:rPr>
          <w:rFonts w:hint="eastAsia" w:ascii="宋体" w:hAnsi="宋体" w:eastAsia="宋体" w:cs="宋体"/>
          <w:color w:val="auto"/>
          <w:highlight w:val="none"/>
        </w:rPr>
      </w:pPr>
    </w:p>
    <w:p>
      <w:pPr>
        <w:pStyle w:val="48"/>
        <w:spacing w:before="120"/>
        <w:ind w:firstLine="0" w:firstLineChars="0"/>
        <w:rPr>
          <w:rFonts w:hint="eastAsia" w:ascii="宋体" w:hAnsi="宋体" w:eastAsia="宋体" w:cs="宋体"/>
          <w:color w:val="auto"/>
          <w:highlight w:val="none"/>
        </w:rPr>
      </w:pPr>
    </w:p>
    <w:p>
      <w:pPr>
        <w:snapToGrid w:val="0"/>
        <w:spacing w:beforeLines="100" w:line="420" w:lineRule="exact"/>
        <w:jc w:val="center"/>
        <w:outlineLvl w:val="3"/>
        <w:rPr>
          <w:rFonts w:ascii="宋体" w:hAnsi="宋体" w:eastAsia="宋体"/>
          <w:b/>
          <w:bCs/>
          <w:color w:val="auto"/>
          <w:sz w:val="24"/>
          <w:szCs w:val="24"/>
          <w:highlight w:val="none"/>
        </w:rPr>
      </w:pPr>
    </w:p>
    <w:p>
      <w:pPr>
        <w:snapToGrid w:val="0"/>
        <w:spacing w:beforeLines="100" w:line="420" w:lineRule="exact"/>
        <w:jc w:val="center"/>
        <w:outlineLvl w:val="3"/>
        <w:rPr>
          <w:rFonts w:ascii="宋体" w:hAnsi="宋体" w:eastAsia="宋体"/>
          <w:b/>
          <w:bCs/>
          <w:color w:val="auto"/>
          <w:sz w:val="24"/>
          <w:szCs w:val="24"/>
          <w:highlight w:val="none"/>
        </w:rPr>
      </w:pPr>
    </w:p>
    <w:p>
      <w:pPr>
        <w:snapToGrid w:val="0"/>
        <w:spacing w:beforeLines="100" w:line="420" w:lineRule="exact"/>
        <w:jc w:val="center"/>
        <w:outlineLvl w:val="3"/>
        <w:rPr>
          <w:rFonts w:ascii="宋体" w:hAnsi="宋体" w:eastAsia="宋体"/>
          <w:b/>
          <w:bCs/>
          <w:color w:val="auto"/>
          <w:sz w:val="24"/>
          <w:szCs w:val="24"/>
          <w:highlight w:val="none"/>
        </w:rPr>
      </w:pPr>
    </w:p>
    <w:p>
      <w:pPr>
        <w:snapToGrid w:val="0"/>
        <w:spacing w:beforeLines="100" w:line="420" w:lineRule="exact"/>
        <w:jc w:val="center"/>
        <w:outlineLvl w:val="3"/>
        <w:rPr>
          <w:rFonts w:ascii="宋体" w:hAnsi="宋体" w:eastAsia="宋体"/>
          <w:b/>
          <w:bCs/>
          <w:color w:val="auto"/>
          <w:sz w:val="24"/>
          <w:szCs w:val="24"/>
          <w:highlight w:val="none"/>
        </w:rPr>
      </w:pPr>
    </w:p>
    <w:p>
      <w:pPr>
        <w:snapToGrid w:val="0"/>
        <w:spacing w:beforeLines="100" w:line="420" w:lineRule="exact"/>
        <w:jc w:val="center"/>
        <w:outlineLvl w:val="3"/>
        <w:rPr>
          <w:rFonts w:ascii="宋体" w:hAnsi="宋体" w:eastAsia="宋体"/>
          <w:b/>
          <w:bCs/>
          <w:color w:val="auto"/>
          <w:sz w:val="24"/>
          <w:szCs w:val="24"/>
          <w:highlight w:val="none"/>
        </w:rPr>
      </w:pPr>
    </w:p>
    <w:p>
      <w:pPr>
        <w:snapToGrid w:val="0"/>
        <w:spacing w:beforeLines="100" w:line="420" w:lineRule="exact"/>
        <w:jc w:val="center"/>
        <w:outlineLvl w:val="3"/>
        <w:rPr>
          <w:rFonts w:ascii="宋体" w:hAnsi="宋体" w:eastAsia="宋体"/>
          <w:b/>
          <w:bCs/>
          <w:color w:val="auto"/>
          <w:sz w:val="24"/>
          <w:szCs w:val="24"/>
          <w:highlight w:val="none"/>
        </w:rPr>
      </w:pPr>
    </w:p>
    <w:p>
      <w:pPr>
        <w:snapToGrid w:val="0"/>
        <w:spacing w:beforeLines="100" w:line="420" w:lineRule="exact"/>
        <w:jc w:val="center"/>
        <w:outlineLvl w:val="3"/>
        <w:rPr>
          <w:rFonts w:ascii="宋体" w:hAnsi="宋体" w:eastAsia="宋体"/>
          <w:b/>
          <w:bCs/>
          <w:color w:val="auto"/>
          <w:sz w:val="24"/>
          <w:szCs w:val="24"/>
          <w:highlight w:val="none"/>
        </w:rPr>
      </w:pPr>
    </w:p>
    <w:p>
      <w:pPr>
        <w:snapToGrid w:val="0"/>
        <w:spacing w:beforeLines="100" w:line="420" w:lineRule="exact"/>
        <w:jc w:val="center"/>
        <w:outlineLvl w:val="3"/>
        <w:rPr>
          <w:rFonts w:ascii="宋体" w:hAnsi="宋体" w:eastAsia="宋体"/>
          <w:b/>
          <w:bCs/>
          <w:color w:val="auto"/>
          <w:sz w:val="24"/>
          <w:szCs w:val="24"/>
          <w:highlight w:val="none"/>
        </w:rPr>
      </w:pPr>
    </w:p>
    <w:p>
      <w:pPr>
        <w:snapToGrid w:val="0"/>
        <w:spacing w:beforeLines="100" w:line="420" w:lineRule="exact"/>
        <w:jc w:val="center"/>
        <w:outlineLvl w:val="3"/>
        <w:rPr>
          <w:rFonts w:ascii="宋体" w:hAnsi="宋体" w:eastAsia="宋体" w:cs="宋体"/>
          <w:b/>
          <w:bCs/>
          <w:color w:val="auto"/>
          <w:sz w:val="24"/>
          <w:szCs w:val="24"/>
          <w:highlight w:val="none"/>
        </w:rPr>
      </w:pPr>
    </w:p>
    <w:p>
      <w:pPr>
        <w:snapToGrid w:val="0"/>
        <w:spacing w:beforeLines="100" w:line="420" w:lineRule="exact"/>
        <w:jc w:val="center"/>
        <w:outlineLvl w:val="3"/>
        <w:rPr>
          <w:rFonts w:ascii="宋体" w:hAnsi="宋体" w:eastAsia="宋体" w:cs="宋体"/>
          <w:b/>
          <w:bCs/>
          <w:color w:val="auto"/>
          <w:sz w:val="24"/>
          <w:szCs w:val="24"/>
          <w:highlight w:val="none"/>
        </w:rPr>
      </w:pPr>
    </w:p>
    <w:p>
      <w:pPr>
        <w:snapToGrid w:val="0"/>
        <w:spacing w:beforeLines="100" w:line="420" w:lineRule="exact"/>
        <w:jc w:val="center"/>
        <w:outlineLvl w:val="3"/>
        <w:rPr>
          <w:rFonts w:ascii="仿宋_GB2312" w:hAnsi="宋体" w:eastAsia="仿宋_GB2312"/>
          <w:b/>
          <w:bCs/>
          <w:color w:val="auto"/>
          <w:sz w:val="24"/>
          <w:szCs w:val="24"/>
          <w:highlight w:val="none"/>
        </w:rPr>
      </w:pPr>
      <w:r>
        <w:rPr>
          <w:rFonts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rPr>
        <w:t>磋商响应报价明细表（格式自拟）</w:t>
      </w:r>
    </w:p>
    <w:p>
      <w:pPr>
        <w:snapToGrid w:val="0"/>
        <w:spacing w:line="420" w:lineRule="exact"/>
        <w:ind w:firstLine="494" w:firstLineChars="206"/>
        <w:rPr>
          <w:rFonts w:ascii="黑体" w:hAnsi="黑体" w:eastAsia="黑体"/>
          <w:color w:val="auto"/>
          <w:sz w:val="24"/>
          <w:szCs w:val="24"/>
          <w:highlight w:val="none"/>
        </w:rPr>
      </w:pPr>
    </w:p>
    <w:p>
      <w:pPr>
        <w:pStyle w:val="48"/>
        <w:spacing w:before="120"/>
        <w:ind w:firstLine="600"/>
        <w:rPr>
          <w:rFonts w:ascii="黑体" w:hAnsi="黑体" w:eastAsia="黑体" w:cs="Times New Roman"/>
          <w:color w:val="auto"/>
          <w:highlight w:val="none"/>
        </w:rPr>
      </w:pPr>
    </w:p>
    <w:p>
      <w:pPr>
        <w:pStyle w:val="48"/>
        <w:spacing w:before="120"/>
        <w:ind w:firstLine="600"/>
        <w:rPr>
          <w:rFonts w:ascii="黑体" w:hAnsi="黑体" w:eastAsia="黑体" w:cs="Times New Roman"/>
          <w:color w:val="auto"/>
          <w:highlight w:val="none"/>
        </w:rPr>
      </w:pPr>
    </w:p>
    <w:p>
      <w:pPr>
        <w:pStyle w:val="48"/>
        <w:spacing w:before="120"/>
        <w:ind w:firstLine="0" w:firstLineChars="0"/>
        <w:rPr>
          <w:rFonts w:ascii="黑体" w:hAnsi="黑体" w:eastAsia="黑体" w:cs="Times New Roman"/>
          <w:color w:val="auto"/>
          <w:highlight w:val="none"/>
        </w:rPr>
      </w:pPr>
    </w:p>
    <w:p>
      <w:pPr>
        <w:pStyle w:val="48"/>
        <w:spacing w:before="120"/>
        <w:ind w:firstLine="602"/>
        <w:jc w:val="left"/>
        <w:rPr>
          <w:rFonts w:ascii="黑体" w:hAnsi="黑体" w:eastAsia="黑体" w:cs="Times New Roman"/>
          <w:b/>
          <w:bCs/>
          <w:color w:val="auto"/>
          <w:highlight w:val="none"/>
        </w:rPr>
      </w:pPr>
    </w:p>
    <w:p>
      <w:pPr>
        <w:pStyle w:val="48"/>
        <w:spacing w:before="120"/>
        <w:ind w:firstLine="602"/>
        <w:jc w:val="left"/>
        <w:rPr>
          <w:rFonts w:ascii="黑体" w:hAnsi="黑体" w:eastAsia="黑体" w:cs="Times New Roman"/>
          <w:b/>
          <w:bCs/>
          <w:color w:val="auto"/>
          <w:highlight w:val="none"/>
        </w:rPr>
      </w:pPr>
    </w:p>
    <w:p>
      <w:pPr>
        <w:pStyle w:val="48"/>
        <w:spacing w:before="120"/>
        <w:ind w:firstLine="602"/>
        <w:jc w:val="left"/>
        <w:rPr>
          <w:rFonts w:ascii="黑体" w:hAnsi="黑体" w:eastAsia="黑体" w:cs="Times New Roman"/>
          <w:b/>
          <w:bCs/>
          <w:color w:val="auto"/>
          <w:highlight w:val="none"/>
        </w:rPr>
      </w:pPr>
    </w:p>
    <w:p>
      <w:pPr>
        <w:pStyle w:val="48"/>
        <w:spacing w:before="120"/>
        <w:ind w:firstLine="602"/>
        <w:jc w:val="left"/>
        <w:rPr>
          <w:rFonts w:ascii="黑体" w:hAnsi="黑体" w:eastAsia="黑体" w:cs="Times New Roman"/>
          <w:b/>
          <w:bCs/>
          <w:color w:val="auto"/>
          <w:highlight w:val="none"/>
        </w:rPr>
      </w:pPr>
    </w:p>
    <w:p>
      <w:pPr>
        <w:pStyle w:val="48"/>
        <w:spacing w:before="120"/>
        <w:ind w:firstLine="602"/>
        <w:jc w:val="left"/>
        <w:rPr>
          <w:rFonts w:ascii="黑体" w:hAnsi="黑体" w:eastAsia="黑体" w:cs="Times New Roman"/>
          <w:b/>
          <w:bCs/>
          <w:color w:val="auto"/>
          <w:highlight w:val="none"/>
        </w:rPr>
      </w:pPr>
    </w:p>
    <w:p>
      <w:pPr>
        <w:pStyle w:val="48"/>
        <w:spacing w:before="120"/>
        <w:ind w:firstLine="602"/>
        <w:jc w:val="left"/>
        <w:rPr>
          <w:rFonts w:ascii="黑体" w:hAnsi="黑体" w:eastAsia="黑体" w:cs="Times New Roman"/>
          <w:b/>
          <w:bCs/>
          <w:color w:val="auto"/>
          <w:highlight w:val="none"/>
        </w:rPr>
      </w:pPr>
    </w:p>
    <w:p>
      <w:pPr>
        <w:pStyle w:val="48"/>
        <w:spacing w:before="120"/>
        <w:ind w:firstLine="602"/>
        <w:jc w:val="left"/>
        <w:rPr>
          <w:rFonts w:ascii="黑体" w:hAnsi="黑体" w:eastAsia="黑体" w:cs="Times New Roman"/>
          <w:b/>
          <w:bCs/>
          <w:color w:val="auto"/>
          <w:highlight w:val="none"/>
        </w:rPr>
      </w:pPr>
    </w:p>
    <w:p>
      <w:pPr>
        <w:pStyle w:val="48"/>
        <w:spacing w:before="120"/>
        <w:ind w:firstLine="602"/>
        <w:jc w:val="left"/>
        <w:rPr>
          <w:rFonts w:ascii="黑体" w:hAnsi="黑体" w:eastAsia="黑体" w:cs="Times New Roman"/>
          <w:b/>
          <w:bCs/>
          <w:color w:val="auto"/>
          <w:highlight w:val="none"/>
        </w:rPr>
      </w:pPr>
    </w:p>
    <w:p>
      <w:pPr>
        <w:pStyle w:val="48"/>
        <w:spacing w:before="120"/>
        <w:ind w:firstLine="602"/>
        <w:jc w:val="left"/>
        <w:rPr>
          <w:rFonts w:ascii="宋体" w:hAnsi="宋体" w:eastAsia="宋体" w:cs="宋体"/>
          <w:b/>
          <w:bCs/>
          <w:color w:val="auto"/>
          <w:highlight w:val="none"/>
        </w:rPr>
      </w:pPr>
    </w:p>
    <w:p>
      <w:pPr>
        <w:pStyle w:val="48"/>
        <w:spacing w:before="120"/>
        <w:ind w:firstLine="602"/>
        <w:jc w:val="left"/>
        <w:rPr>
          <w:rFonts w:ascii="宋体" w:hAnsi="宋体" w:eastAsia="宋体" w:cs="宋体"/>
          <w:b/>
          <w:bCs/>
          <w:color w:val="auto"/>
          <w:highlight w:val="none"/>
        </w:rPr>
      </w:pPr>
    </w:p>
    <w:p>
      <w:pPr>
        <w:pStyle w:val="48"/>
        <w:spacing w:before="120"/>
        <w:ind w:firstLine="602"/>
        <w:jc w:val="left"/>
        <w:rPr>
          <w:rFonts w:ascii="宋体" w:hAnsi="宋体" w:eastAsia="宋体" w:cs="宋体"/>
          <w:b/>
          <w:bCs/>
          <w:color w:val="auto"/>
          <w:highlight w:val="none"/>
        </w:rPr>
      </w:pPr>
    </w:p>
    <w:p>
      <w:pPr>
        <w:pStyle w:val="48"/>
        <w:spacing w:before="120"/>
        <w:ind w:firstLine="602"/>
        <w:jc w:val="left"/>
        <w:rPr>
          <w:rFonts w:ascii="宋体" w:hAnsi="宋体" w:eastAsia="宋体" w:cs="宋体"/>
          <w:b/>
          <w:bCs/>
          <w:color w:val="auto"/>
          <w:highlight w:val="none"/>
        </w:rPr>
      </w:pPr>
    </w:p>
    <w:p>
      <w:pPr>
        <w:pStyle w:val="48"/>
        <w:spacing w:before="120"/>
        <w:ind w:firstLine="602"/>
        <w:jc w:val="left"/>
        <w:rPr>
          <w:rFonts w:ascii="宋体" w:hAnsi="宋体" w:eastAsia="宋体" w:cs="宋体"/>
          <w:b/>
          <w:bCs/>
          <w:color w:val="auto"/>
          <w:highlight w:val="none"/>
        </w:rPr>
      </w:pPr>
    </w:p>
    <w:p>
      <w:pPr>
        <w:pStyle w:val="48"/>
        <w:spacing w:before="120"/>
        <w:ind w:firstLine="602"/>
        <w:jc w:val="left"/>
        <w:rPr>
          <w:rFonts w:ascii="宋体" w:hAnsi="宋体" w:eastAsia="宋体" w:cs="宋体"/>
          <w:b/>
          <w:bCs/>
          <w:color w:val="auto"/>
          <w:highlight w:val="none"/>
        </w:rPr>
      </w:pPr>
    </w:p>
    <w:p>
      <w:pPr>
        <w:pStyle w:val="48"/>
        <w:spacing w:before="120"/>
        <w:ind w:firstLine="602"/>
        <w:jc w:val="left"/>
        <w:rPr>
          <w:rFonts w:ascii="宋体" w:hAnsi="宋体" w:eastAsia="宋体" w:cs="宋体"/>
          <w:b/>
          <w:bCs/>
          <w:color w:val="auto"/>
          <w:highlight w:val="none"/>
        </w:rPr>
      </w:pPr>
    </w:p>
    <w:p>
      <w:pPr>
        <w:pStyle w:val="48"/>
        <w:spacing w:before="120"/>
        <w:ind w:firstLine="602"/>
        <w:jc w:val="left"/>
        <w:rPr>
          <w:rFonts w:ascii="宋体" w:hAnsi="宋体" w:eastAsia="宋体" w:cs="宋体"/>
          <w:b/>
          <w:bCs/>
          <w:color w:val="auto"/>
          <w:highlight w:val="none"/>
        </w:rPr>
      </w:pPr>
    </w:p>
    <w:p>
      <w:pPr>
        <w:pStyle w:val="48"/>
        <w:spacing w:before="120"/>
        <w:ind w:firstLine="602"/>
        <w:jc w:val="left"/>
        <w:rPr>
          <w:rFonts w:ascii="宋体" w:hAnsi="宋体" w:eastAsia="宋体" w:cs="宋体"/>
          <w:b/>
          <w:bCs/>
          <w:color w:val="auto"/>
          <w:highlight w:val="none"/>
        </w:rPr>
      </w:pPr>
    </w:p>
    <w:p>
      <w:pPr>
        <w:pStyle w:val="48"/>
        <w:spacing w:before="120"/>
        <w:ind w:firstLine="602"/>
        <w:jc w:val="left"/>
        <w:rPr>
          <w:rFonts w:ascii="宋体" w:hAnsi="宋体" w:eastAsia="宋体" w:cs="宋体"/>
          <w:b/>
          <w:bCs/>
          <w:color w:val="auto"/>
          <w:highlight w:val="none"/>
        </w:rPr>
      </w:pPr>
    </w:p>
    <w:p>
      <w:pPr>
        <w:pStyle w:val="48"/>
        <w:spacing w:before="120"/>
        <w:ind w:firstLine="602"/>
        <w:jc w:val="left"/>
        <w:rPr>
          <w:rFonts w:ascii="宋体" w:hAnsi="宋体" w:eastAsia="宋体" w:cs="宋体"/>
          <w:b/>
          <w:bCs/>
          <w:color w:val="auto"/>
          <w:highlight w:val="none"/>
        </w:rPr>
      </w:pPr>
    </w:p>
    <w:p>
      <w:pPr>
        <w:pStyle w:val="48"/>
        <w:spacing w:before="120"/>
        <w:ind w:firstLine="602"/>
        <w:jc w:val="left"/>
        <w:rPr>
          <w:rFonts w:ascii="宋体" w:hAnsi="宋体" w:eastAsia="宋体" w:cs="宋体"/>
          <w:b/>
          <w:bCs/>
          <w:color w:val="auto"/>
          <w:highlight w:val="none"/>
        </w:rPr>
      </w:pPr>
    </w:p>
    <w:p>
      <w:pPr>
        <w:pStyle w:val="48"/>
        <w:spacing w:before="120"/>
        <w:ind w:firstLine="602"/>
        <w:jc w:val="left"/>
        <w:rPr>
          <w:rFonts w:ascii="宋体" w:hAnsi="宋体" w:eastAsia="宋体" w:cs="宋体"/>
          <w:b/>
          <w:bCs/>
          <w:color w:val="auto"/>
          <w:highlight w:val="none"/>
        </w:rPr>
      </w:pPr>
    </w:p>
    <w:p>
      <w:pPr>
        <w:pStyle w:val="48"/>
        <w:spacing w:before="120"/>
        <w:ind w:firstLine="602"/>
        <w:jc w:val="left"/>
        <w:rPr>
          <w:rFonts w:ascii="宋体" w:hAnsi="宋体" w:eastAsia="宋体" w:cs="宋体"/>
          <w:b/>
          <w:bCs/>
          <w:color w:val="auto"/>
          <w:highlight w:val="none"/>
        </w:rPr>
      </w:pPr>
    </w:p>
    <w:p>
      <w:pPr>
        <w:pStyle w:val="48"/>
        <w:spacing w:before="120"/>
        <w:ind w:firstLine="602"/>
        <w:jc w:val="left"/>
        <w:rPr>
          <w:rFonts w:ascii="宋体" w:hAnsi="宋体" w:eastAsia="宋体" w:cs="宋体"/>
          <w:b/>
          <w:bCs/>
          <w:color w:val="auto"/>
          <w:highlight w:val="none"/>
        </w:rPr>
      </w:pPr>
    </w:p>
    <w:p>
      <w:pPr>
        <w:pStyle w:val="48"/>
        <w:spacing w:before="120"/>
        <w:ind w:firstLine="602"/>
        <w:jc w:val="left"/>
        <w:rPr>
          <w:rFonts w:ascii="宋体" w:hAnsi="宋体" w:eastAsia="宋体" w:cs="宋体"/>
          <w:b/>
          <w:bCs/>
          <w:color w:val="auto"/>
          <w:highlight w:val="none"/>
        </w:rPr>
      </w:pPr>
    </w:p>
    <w:p>
      <w:pPr>
        <w:pStyle w:val="4"/>
        <w:jc w:val="center"/>
        <w:rPr>
          <w:rFonts w:ascii="宋体"/>
          <w:sz w:val="28"/>
          <w:szCs w:val="28"/>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highlight w:val="none"/>
        </w:rPr>
        <w:t>.</w:t>
      </w:r>
      <w:r>
        <w:rPr>
          <w:rFonts w:hint="eastAsia" w:ascii="宋体" w:hAnsi="宋体" w:eastAsia="宋体" w:cs="宋体"/>
          <w:sz w:val="28"/>
          <w:szCs w:val="28"/>
          <w:highlight w:val="none"/>
        </w:rPr>
        <w:t>中小企业声明函（服务）</w:t>
      </w:r>
    </w:p>
    <w:p>
      <w:pPr>
        <w:pStyle w:val="2"/>
        <w:spacing w:line="520" w:lineRule="exact"/>
        <w:ind w:right="415" w:firstLine="640"/>
        <w:rPr>
          <w:rFonts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SA"/>
        </w:rPr>
        <w:t>本公司（联合体）郑重声明，根据《政府采购促进中小企业发展管理办法》（财库﹝2020﹞46 号）的规定，本公司参加</w:t>
      </w:r>
      <w:r>
        <w:rPr>
          <w:rFonts w:hint="eastAsia" w:ascii="宋体" w:hAnsi="宋体" w:eastAsia="宋体" w:cs="宋体"/>
          <w:kern w:val="0"/>
          <w:sz w:val="24"/>
          <w:szCs w:val="24"/>
          <w:highlight w:val="none"/>
          <w:u w:val="single"/>
          <w:lang w:val="en-US" w:eastAsia="zh-CN" w:bidi="ar-SA"/>
        </w:rPr>
        <w:t xml:space="preserve">                    </w:t>
      </w:r>
      <w:r>
        <w:rPr>
          <w:rFonts w:hint="eastAsia" w:ascii="宋体" w:hAnsi="宋体" w:eastAsia="宋体" w:cs="宋体"/>
          <w:kern w:val="0"/>
          <w:sz w:val="24"/>
          <w:szCs w:val="24"/>
          <w:highlight w:val="none"/>
          <w:lang w:val="en-US" w:eastAsia="zh-CN" w:bidi="ar-SA"/>
        </w:rPr>
        <w:t xml:space="preserve"> 项目采购活动，服务全部由符合政策要求的中小企业承接。相关企业的具体情况如下</w:t>
      </w:r>
      <w:r>
        <w:rPr>
          <w:rFonts w:hint="eastAsia" w:ascii="宋体" w:hAnsi="宋体" w:eastAsia="宋体" w:cs="宋体"/>
          <w:sz w:val="24"/>
          <w:szCs w:val="24"/>
          <w:highlight w:val="none"/>
        </w:rPr>
        <w:t>：</w:t>
      </w:r>
    </w:p>
    <w:p>
      <w:pPr>
        <w:pStyle w:val="115"/>
        <w:numPr>
          <w:ilvl w:val="0"/>
          <w:numId w:val="2"/>
        </w:numPr>
        <w:tabs>
          <w:tab w:val="left" w:pos="1243"/>
        </w:tabs>
        <w:spacing w:line="520" w:lineRule="exact"/>
        <w:ind w:firstLine="458"/>
        <w:rPr>
          <w:rFonts w:ascii="宋体" w:hAnsi="宋体" w:cs="宋体"/>
          <w:sz w:val="24"/>
          <w:szCs w:val="24"/>
          <w:highlight w:val="none"/>
        </w:rPr>
      </w:pPr>
      <w:r>
        <w:rPr>
          <w:rFonts w:hint="eastAsia" w:ascii="宋体" w:hAnsi="宋体" w:cs="宋体"/>
          <w:w w:val="96"/>
          <w:sz w:val="24"/>
          <w:szCs w:val="24"/>
          <w:highlight w:val="none"/>
          <w:u w:val="single"/>
        </w:rPr>
        <w:t>（标的名称）</w:t>
      </w:r>
      <w:r>
        <w:rPr>
          <w:rFonts w:hint="eastAsia" w:ascii="宋体" w:hAnsi="宋体" w:cs="宋体"/>
          <w:w w:val="99"/>
          <w:sz w:val="24"/>
          <w:szCs w:val="24"/>
          <w:highlight w:val="none"/>
        </w:rPr>
        <w:t>，</w:t>
      </w:r>
      <w:r>
        <w:rPr>
          <w:rFonts w:hint="eastAsia" w:ascii="宋体" w:hAnsi="宋体" w:eastAsia="宋体" w:cs="宋体"/>
          <w:kern w:val="0"/>
          <w:sz w:val="24"/>
          <w:szCs w:val="24"/>
          <w:highlight w:val="none"/>
          <w:lang w:val="en-US" w:eastAsia="zh-CN" w:bidi="ar-SA"/>
        </w:rPr>
        <w:t>属于</w:t>
      </w:r>
      <w:r>
        <w:rPr>
          <w:rFonts w:hint="eastAsia" w:ascii="宋体" w:hAnsi="宋体" w:cs="宋体"/>
          <w:w w:val="96"/>
          <w:sz w:val="24"/>
          <w:szCs w:val="24"/>
          <w:highlight w:val="none"/>
          <w:u w:val="single"/>
        </w:rPr>
        <w:t>服务</w:t>
      </w:r>
      <w:r>
        <w:rPr>
          <w:rFonts w:hint="eastAsia" w:ascii="宋体" w:hAnsi="宋体" w:eastAsia="宋体" w:cs="宋体"/>
          <w:kern w:val="0"/>
          <w:sz w:val="24"/>
          <w:szCs w:val="24"/>
          <w:highlight w:val="none"/>
          <w:lang w:val="en-US" w:eastAsia="zh-CN" w:bidi="ar-SA"/>
        </w:rPr>
        <w:t>行业</w:t>
      </w:r>
      <w:r>
        <w:rPr>
          <w:rFonts w:hint="eastAsia" w:ascii="宋体" w:hAnsi="宋体" w:cs="宋体"/>
          <w:w w:val="99"/>
          <w:sz w:val="24"/>
          <w:szCs w:val="24"/>
          <w:highlight w:val="none"/>
        </w:rPr>
        <w:t>；</w:t>
      </w:r>
      <w:r>
        <w:rPr>
          <w:rFonts w:hint="eastAsia" w:ascii="宋体" w:hAnsi="宋体" w:eastAsia="宋体" w:cs="宋体"/>
          <w:kern w:val="0"/>
          <w:sz w:val="24"/>
          <w:szCs w:val="24"/>
          <w:highlight w:val="none"/>
          <w:lang w:val="en-US" w:eastAsia="zh-CN" w:bidi="ar-SA"/>
        </w:rPr>
        <w:t>承接企业为</w:t>
      </w:r>
      <w:r>
        <w:rPr>
          <w:rFonts w:hint="eastAsia" w:ascii="宋体" w:hAnsi="宋体" w:cs="宋体"/>
          <w:w w:val="96"/>
          <w:sz w:val="24"/>
          <w:szCs w:val="24"/>
          <w:highlight w:val="none"/>
          <w:u w:val="single"/>
        </w:rPr>
        <w:t>（</w:t>
      </w:r>
      <w:r>
        <w:rPr>
          <w:rFonts w:hint="eastAsia" w:ascii="宋体" w:hAnsi="宋体" w:eastAsia="宋体" w:cs="宋体"/>
          <w:kern w:val="2"/>
          <w:sz w:val="24"/>
          <w:szCs w:val="24"/>
          <w:highlight w:val="none"/>
          <w:u w:val="single"/>
          <w:lang w:val="en-US" w:eastAsia="zh-CN" w:bidi="ar-SA"/>
        </w:rPr>
        <w:t>企业名称</w:t>
      </w:r>
      <w:r>
        <w:rPr>
          <w:rFonts w:hint="eastAsia" w:ascii="宋体" w:hAnsi="宋体" w:cs="宋体"/>
          <w:w w:val="96"/>
          <w:sz w:val="24"/>
          <w:szCs w:val="24"/>
          <w:highlight w:val="none"/>
          <w:u w:val="single"/>
        </w:rPr>
        <w:t>）</w:t>
      </w:r>
      <w:r>
        <w:rPr>
          <w:rFonts w:hint="eastAsia" w:ascii="宋体" w:hAnsi="宋体" w:cs="宋体"/>
          <w:w w:val="99"/>
          <w:sz w:val="24"/>
          <w:szCs w:val="24"/>
          <w:highlight w:val="none"/>
        </w:rPr>
        <w:t>，</w:t>
      </w:r>
      <w:r>
        <w:rPr>
          <w:rFonts w:hint="eastAsia" w:ascii="宋体" w:hAnsi="宋体" w:eastAsia="宋体" w:cs="宋体"/>
          <w:kern w:val="0"/>
          <w:sz w:val="24"/>
          <w:szCs w:val="24"/>
          <w:highlight w:val="none"/>
          <w:lang w:val="en-US" w:eastAsia="zh-CN" w:bidi="ar-SA"/>
        </w:rPr>
        <w:t>从业人员</w:t>
      </w:r>
      <w:r>
        <w:rPr>
          <w:rFonts w:hint="eastAsia" w:ascii="宋体" w:hAnsi="宋体" w:cs="宋体"/>
          <w:w w:val="99"/>
          <w:sz w:val="24"/>
          <w:szCs w:val="24"/>
          <w:highlight w:val="none"/>
          <w:u w:val="single"/>
        </w:rPr>
        <w:t xml:space="preserve"> </w:t>
      </w:r>
      <w:r>
        <w:rPr>
          <w:rFonts w:hint="eastAsia" w:ascii="宋体" w:hAnsi="宋体" w:cs="宋体"/>
          <w:sz w:val="24"/>
          <w:szCs w:val="24"/>
          <w:highlight w:val="none"/>
          <w:u w:val="single"/>
        </w:rPr>
        <w:tab/>
      </w:r>
      <w:r>
        <w:rPr>
          <w:rFonts w:hint="eastAsia" w:ascii="宋体" w:hAnsi="宋体" w:cs="宋体"/>
          <w:w w:val="99"/>
          <w:sz w:val="24"/>
          <w:szCs w:val="24"/>
          <w:highlight w:val="none"/>
        </w:rPr>
        <w:t>人，</w:t>
      </w:r>
      <w:r>
        <w:rPr>
          <w:rFonts w:hint="eastAsia" w:ascii="宋体" w:hAnsi="宋体" w:eastAsia="宋体" w:cs="宋体"/>
          <w:kern w:val="0"/>
          <w:sz w:val="24"/>
          <w:szCs w:val="24"/>
          <w:highlight w:val="none"/>
          <w:lang w:val="en-US" w:eastAsia="zh-CN" w:bidi="ar-SA"/>
        </w:rPr>
        <w:t>营业</w:t>
      </w:r>
      <w:r>
        <w:rPr>
          <w:rFonts w:hint="eastAsia" w:ascii="宋体" w:hAnsi="宋体" w:cs="宋体"/>
          <w:sz w:val="24"/>
          <w:szCs w:val="24"/>
          <w:highlight w:val="none"/>
        </w:rPr>
        <w:t>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r>
        <w:rPr>
          <w:rFonts w:hint="eastAsia" w:ascii="宋体" w:hAnsi="宋体" w:cs="宋体"/>
          <w:sz w:val="24"/>
          <w:szCs w:val="24"/>
          <w:highlight w:val="none"/>
        </w:rPr>
        <w:t>万元，属于</w:t>
      </w:r>
      <w:r>
        <w:rPr>
          <w:rFonts w:hint="eastAsia" w:ascii="宋体" w:hAnsi="宋体" w:cs="宋体"/>
          <w:sz w:val="24"/>
          <w:szCs w:val="24"/>
          <w:highlight w:val="none"/>
          <w:u w:val="single"/>
        </w:rPr>
        <w:t>（中型企业、</w:t>
      </w:r>
      <w:r>
        <w:rPr>
          <w:rFonts w:hint="eastAsia" w:ascii="宋体" w:hAnsi="宋体" w:eastAsia="宋体" w:cs="宋体"/>
          <w:kern w:val="2"/>
          <w:sz w:val="24"/>
          <w:szCs w:val="24"/>
          <w:highlight w:val="none"/>
          <w:lang w:val="en-US" w:eastAsia="zh-CN" w:bidi="ar-SA"/>
        </w:rPr>
        <w:t>小型企业、微型企业</w:t>
      </w:r>
      <w:r>
        <w:rPr>
          <w:rFonts w:hint="eastAsia" w:ascii="宋体" w:hAnsi="宋体" w:cs="宋体"/>
          <w:w w:val="96"/>
          <w:sz w:val="24"/>
          <w:szCs w:val="24"/>
          <w:highlight w:val="none"/>
          <w:u w:val="single"/>
        </w:rPr>
        <w:t>）</w:t>
      </w:r>
      <w:r>
        <w:rPr>
          <w:rFonts w:hint="eastAsia" w:ascii="宋体" w:hAnsi="宋体" w:cs="宋体"/>
          <w:w w:val="99"/>
          <w:sz w:val="24"/>
          <w:szCs w:val="24"/>
          <w:highlight w:val="none"/>
        </w:rPr>
        <w:t>；</w:t>
      </w:r>
    </w:p>
    <w:p>
      <w:pPr>
        <w:pStyle w:val="115"/>
        <w:numPr>
          <w:ilvl w:val="0"/>
          <w:numId w:val="2"/>
        </w:numPr>
        <w:tabs>
          <w:tab w:val="left" w:pos="1243"/>
          <w:tab w:val="left" w:pos="1806"/>
          <w:tab w:val="left" w:pos="5005"/>
          <w:tab w:val="left" w:pos="7213"/>
        </w:tabs>
        <w:spacing w:line="520" w:lineRule="exact"/>
        <w:ind w:right="258" w:firstLine="458"/>
        <w:rPr>
          <w:rFonts w:ascii="宋体" w:hAnsi="宋体" w:cs="宋体"/>
          <w:sz w:val="24"/>
          <w:szCs w:val="24"/>
          <w:highlight w:val="none"/>
        </w:rPr>
      </w:pPr>
      <w:r>
        <w:rPr>
          <w:rFonts w:hint="eastAsia" w:ascii="宋体" w:hAnsi="宋体" w:cs="宋体"/>
          <w:w w:val="96"/>
          <w:sz w:val="24"/>
          <w:szCs w:val="24"/>
          <w:highlight w:val="none"/>
          <w:u w:val="single"/>
        </w:rPr>
        <w:t>（标的名称）</w:t>
      </w:r>
      <w:r>
        <w:rPr>
          <w:rFonts w:hint="eastAsia" w:ascii="宋体" w:hAnsi="宋体" w:cs="宋体"/>
          <w:w w:val="99"/>
          <w:sz w:val="24"/>
          <w:szCs w:val="24"/>
          <w:highlight w:val="none"/>
        </w:rPr>
        <w:t>，</w:t>
      </w:r>
      <w:r>
        <w:rPr>
          <w:rFonts w:hint="eastAsia" w:ascii="宋体" w:hAnsi="宋体" w:eastAsia="宋体" w:cs="宋体"/>
          <w:kern w:val="0"/>
          <w:sz w:val="24"/>
          <w:szCs w:val="24"/>
          <w:highlight w:val="none"/>
          <w:u w:val="none"/>
          <w:lang w:val="en-US" w:eastAsia="zh-CN" w:bidi="ar-SA"/>
        </w:rPr>
        <w:t>属于</w:t>
      </w:r>
      <w:r>
        <w:rPr>
          <w:rFonts w:hint="eastAsia" w:ascii="宋体" w:hAnsi="宋体" w:eastAsia="宋体" w:cs="宋体"/>
          <w:kern w:val="2"/>
          <w:sz w:val="24"/>
          <w:szCs w:val="24"/>
          <w:highlight w:val="none"/>
          <w:u w:val="single"/>
          <w:lang w:val="en-US" w:eastAsia="zh-CN" w:bidi="ar-SA"/>
        </w:rPr>
        <w:t>服务</w:t>
      </w:r>
      <w:r>
        <w:rPr>
          <w:rFonts w:hint="eastAsia" w:ascii="宋体" w:hAnsi="宋体" w:eastAsia="宋体" w:cs="宋体"/>
          <w:kern w:val="0"/>
          <w:sz w:val="24"/>
          <w:szCs w:val="24"/>
          <w:highlight w:val="none"/>
          <w:lang w:val="en-US" w:eastAsia="zh-CN" w:bidi="ar-SA"/>
        </w:rPr>
        <w:t>行业</w:t>
      </w:r>
      <w:r>
        <w:rPr>
          <w:rFonts w:hint="eastAsia" w:ascii="宋体" w:hAnsi="宋体" w:cs="宋体"/>
          <w:w w:val="99"/>
          <w:sz w:val="24"/>
          <w:szCs w:val="24"/>
          <w:highlight w:val="none"/>
        </w:rPr>
        <w:t>；</w:t>
      </w:r>
      <w:r>
        <w:rPr>
          <w:rFonts w:hint="eastAsia" w:ascii="宋体" w:hAnsi="宋体" w:eastAsia="宋体" w:cs="宋体"/>
          <w:kern w:val="0"/>
          <w:sz w:val="24"/>
          <w:szCs w:val="24"/>
          <w:highlight w:val="none"/>
          <w:lang w:val="en-US" w:eastAsia="zh-CN" w:bidi="ar-SA"/>
        </w:rPr>
        <w:t>承接企业为</w:t>
      </w:r>
      <w:r>
        <w:rPr>
          <w:rFonts w:hint="eastAsia" w:ascii="宋体" w:hAnsi="宋体" w:cs="宋体"/>
          <w:w w:val="96"/>
          <w:sz w:val="24"/>
          <w:szCs w:val="24"/>
          <w:highlight w:val="none"/>
          <w:u w:val="single"/>
        </w:rPr>
        <w:t>（</w:t>
      </w:r>
      <w:r>
        <w:rPr>
          <w:rFonts w:hint="eastAsia" w:ascii="宋体" w:hAnsi="宋体" w:eastAsia="宋体" w:cs="宋体"/>
          <w:kern w:val="0"/>
          <w:sz w:val="24"/>
          <w:szCs w:val="24"/>
          <w:highlight w:val="none"/>
          <w:u w:val="single"/>
          <w:lang w:val="en-US" w:eastAsia="zh-CN" w:bidi="ar-SA"/>
        </w:rPr>
        <w:t>企业名称</w:t>
      </w:r>
      <w:r>
        <w:rPr>
          <w:rFonts w:hint="eastAsia" w:ascii="宋体" w:hAnsi="宋体" w:cs="宋体"/>
          <w:w w:val="96"/>
          <w:sz w:val="24"/>
          <w:szCs w:val="24"/>
          <w:highlight w:val="none"/>
          <w:u w:val="single"/>
        </w:rPr>
        <w:t>）</w:t>
      </w:r>
      <w:r>
        <w:rPr>
          <w:rFonts w:hint="eastAsia" w:ascii="宋体" w:hAnsi="宋体" w:cs="宋体"/>
          <w:w w:val="99"/>
          <w:sz w:val="24"/>
          <w:szCs w:val="24"/>
          <w:highlight w:val="none"/>
        </w:rPr>
        <w:t>，</w:t>
      </w:r>
      <w:r>
        <w:rPr>
          <w:rFonts w:hint="eastAsia" w:ascii="宋体" w:hAnsi="宋体" w:eastAsia="宋体" w:cs="宋体"/>
          <w:kern w:val="0"/>
          <w:sz w:val="24"/>
          <w:szCs w:val="24"/>
          <w:highlight w:val="none"/>
          <w:u w:val="none"/>
          <w:lang w:val="en-US" w:eastAsia="zh-CN" w:bidi="ar-SA"/>
        </w:rPr>
        <w:t>从业人员</w:t>
      </w:r>
      <w:r>
        <w:rPr>
          <w:rFonts w:hint="eastAsia" w:ascii="宋体" w:hAnsi="宋体" w:cs="宋体"/>
          <w:w w:val="99"/>
          <w:sz w:val="24"/>
          <w:szCs w:val="24"/>
          <w:highlight w:val="none"/>
          <w:u w:val="single"/>
        </w:rPr>
        <w:t xml:space="preserve"> </w:t>
      </w:r>
      <w:r>
        <w:rPr>
          <w:rFonts w:hint="eastAsia" w:ascii="宋体" w:hAnsi="宋体" w:cs="宋体"/>
          <w:sz w:val="24"/>
          <w:szCs w:val="24"/>
          <w:highlight w:val="none"/>
          <w:u w:val="single"/>
        </w:rPr>
        <w:tab/>
      </w:r>
      <w:r>
        <w:rPr>
          <w:rFonts w:hint="eastAsia" w:ascii="宋体" w:hAnsi="宋体" w:eastAsia="宋体" w:cs="宋体"/>
          <w:kern w:val="0"/>
          <w:sz w:val="24"/>
          <w:szCs w:val="24"/>
          <w:highlight w:val="none"/>
          <w:u w:val="none"/>
          <w:lang w:val="en-US" w:eastAsia="zh-CN" w:bidi="ar-SA"/>
        </w:rPr>
        <w:t>人</w:t>
      </w:r>
      <w:r>
        <w:rPr>
          <w:rFonts w:hint="eastAsia" w:ascii="宋体" w:hAnsi="宋体" w:cs="宋体"/>
          <w:w w:val="99"/>
          <w:sz w:val="24"/>
          <w:szCs w:val="24"/>
          <w:highlight w:val="none"/>
        </w:rPr>
        <w:t>，营业</w:t>
      </w:r>
      <w:r>
        <w:rPr>
          <w:rFonts w:hint="eastAsia" w:ascii="宋体" w:hAnsi="宋体" w:cs="宋体"/>
          <w:sz w:val="24"/>
          <w:szCs w:val="24"/>
          <w:highlight w:val="none"/>
        </w:rPr>
        <w:t>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r>
        <w:rPr>
          <w:rFonts w:hint="eastAsia" w:ascii="宋体" w:hAnsi="宋体" w:cs="宋体"/>
          <w:sz w:val="24"/>
          <w:szCs w:val="24"/>
          <w:highlight w:val="none"/>
        </w:rPr>
        <w:t xml:space="preserve">万元，资产总额为 </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（中型企业、</w:t>
      </w:r>
      <w:r>
        <w:rPr>
          <w:rFonts w:hint="eastAsia" w:ascii="宋体" w:hAnsi="宋体" w:eastAsia="宋体" w:cs="宋体"/>
          <w:kern w:val="2"/>
          <w:sz w:val="24"/>
          <w:szCs w:val="24"/>
          <w:highlight w:val="none"/>
          <w:lang w:val="en-US" w:eastAsia="zh-CN" w:bidi="ar-SA"/>
        </w:rPr>
        <w:t>小型企业、微型企业</w:t>
      </w:r>
      <w:r>
        <w:rPr>
          <w:rFonts w:hint="eastAsia" w:ascii="宋体" w:hAnsi="宋体" w:cs="宋体"/>
          <w:w w:val="96"/>
          <w:sz w:val="24"/>
          <w:szCs w:val="24"/>
          <w:highlight w:val="none"/>
          <w:u w:val="single"/>
        </w:rPr>
        <w:t>）</w:t>
      </w:r>
      <w:r>
        <w:rPr>
          <w:rFonts w:hint="eastAsia" w:ascii="宋体" w:hAnsi="宋体" w:cs="宋体"/>
          <w:w w:val="99"/>
          <w:sz w:val="24"/>
          <w:szCs w:val="24"/>
          <w:highlight w:val="none"/>
        </w:rPr>
        <w:t>；</w:t>
      </w:r>
    </w:p>
    <w:p>
      <w:pPr>
        <w:pStyle w:val="2"/>
        <w:spacing w:before="11" w:line="520" w:lineRule="exact"/>
        <w:ind w:left="860"/>
        <w:rPr>
          <w:rFonts w:ascii="宋体" w:hAnsi="宋体" w:eastAsia="宋体" w:cs="宋体"/>
          <w:sz w:val="24"/>
          <w:szCs w:val="24"/>
          <w:highlight w:val="none"/>
        </w:rPr>
      </w:pPr>
      <w:r>
        <w:rPr>
          <w:rFonts w:hint="eastAsia" w:ascii="宋体" w:hAnsi="宋体" w:eastAsia="宋体" w:cs="宋体"/>
          <w:sz w:val="24"/>
          <w:szCs w:val="24"/>
          <w:highlight w:val="none"/>
        </w:rPr>
        <w:t>……</w:t>
      </w:r>
    </w:p>
    <w:p>
      <w:pPr>
        <w:pStyle w:val="2"/>
        <w:spacing w:before="108" w:line="520" w:lineRule="exact"/>
        <w:ind w:right="417" w:firstLine="645"/>
        <w:rPr>
          <w:rFonts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SA"/>
        </w:rPr>
        <w:t>以上企业，不属于大企业的分支机构，不存在控股股东为大企业的情形，也不存在与大企业的负责人为同一人的情形</w:t>
      </w:r>
      <w:r>
        <w:rPr>
          <w:rFonts w:hint="eastAsia" w:ascii="宋体" w:hAnsi="宋体" w:eastAsia="宋体" w:cs="宋体"/>
          <w:spacing w:val="-5"/>
          <w:sz w:val="24"/>
          <w:szCs w:val="24"/>
          <w:highlight w:val="none"/>
        </w:rPr>
        <w:t>。</w:t>
      </w:r>
    </w:p>
    <w:p>
      <w:pPr>
        <w:pStyle w:val="2"/>
        <w:spacing w:line="520" w:lineRule="exact"/>
        <w:ind w:right="420" w:firstLine="640"/>
        <w:rPr>
          <w:rFonts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SA"/>
        </w:rPr>
        <w:t>本企业对上述声明内容的真实性负责。如有虚假，将依法承担相应责任</w:t>
      </w:r>
      <w:r>
        <w:rPr>
          <w:rFonts w:hint="eastAsia" w:ascii="宋体" w:hAnsi="宋体" w:eastAsia="宋体" w:cs="宋体"/>
          <w:spacing w:val="-2"/>
          <w:sz w:val="24"/>
          <w:szCs w:val="24"/>
          <w:highlight w:val="none"/>
        </w:rPr>
        <w:t>。</w:t>
      </w:r>
    </w:p>
    <w:p>
      <w:pPr>
        <w:pStyle w:val="2"/>
        <w:spacing w:before="29" w:line="520" w:lineRule="exact"/>
        <w:ind w:left="4060" w:right="2166"/>
        <w:rPr>
          <w:rFonts w:ascii="宋体" w:hAnsi="宋体" w:eastAsia="宋体" w:cs="宋体"/>
          <w:w w:val="99"/>
          <w:sz w:val="24"/>
          <w:szCs w:val="24"/>
          <w:highlight w:val="none"/>
        </w:rPr>
      </w:pPr>
      <w:r>
        <w:rPr>
          <w:rFonts w:hint="eastAsia" w:ascii="宋体" w:hAnsi="宋体" w:eastAsia="宋体" w:cs="宋体"/>
          <w:kern w:val="0"/>
          <w:sz w:val="24"/>
          <w:szCs w:val="24"/>
          <w:highlight w:val="none"/>
          <w:lang w:val="en-US" w:eastAsia="zh-CN" w:bidi="ar-SA"/>
        </w:rPr>
        <w:t>企业名称（盖章）</w:t>
      </w:r>
      <w:r>
        <w:rPr>
          <w:rFonts w:hint="eastAsia" w:ascii="宋体" w:hAnsi="宋体" w:eastAsia="宋体" w:cs="宋体"/>
          <w:w w:val="99"/>
          <w:sz w:val="24"/>
          <w:szCs w:val="24"/>
          <w:highlight w:val="none"/>
        </w:rPr>
        <w:t>：</w:t>
      </w:r>
    </w:p>
    <w:p>
      <w:pPr>
        <w:pStyle w:val="2"/>
        <w:spacing w:before="29" w:line="520" w:lineRule="exact"/>
        <w:ind w:left="4060" w:right="2166"/>
        <w:rPr>
          <w:rFonts w:ascii="宋体" w:hAnsi="宋体" w:eastAsia="宋体" w:cs="宋体"/>
          <w:sz w:val="24"/>
          <w:szCs w:val="24"/>
          <w:highlight w:val="none"/>
        </w:rPr>
      </w:pPr>
      <w:r>
        <w:rPr>
          <w:rFonts w:hint="eastAsia" w:ascii="宋体" w:hAnsi="宋体" w:eastAsia="宋体" w:cs="宋体"/>
          <w:sz w:val="24"/>
          <w:szCs w:val="24"/>
          <w:highlight w:val="none"/>
        </w:rPr>
        <w:t>日 期：</w:t>
      </w:r>
    </w:p>
    <w:p>
      <w:pPr>
        <w:snapToGrid w:val="0"/>
        <w:spacing w:line="420" w:lineRule="exact"/>
        <w:ind w:firstLine="535" w:firstLineChars="206"/>
        <w:rPr>
          <w:rFonts w:eastAsia="宋体"/>
          <w:highlight w:val="none"/>
        </w:rPr>
      </w:pPr>
      <w:r>
        <w:rPr>
          <w:rFonts w:hint="eastAsia" w:eastAsia="宋体" w:cs="宋体"/>
          <w:highlight w:val="none"/>
        </w:rPr>
        <w:t>注：</w:t>
      </w:r>
    </w:p>
    <w:p>
      <w:pPr>
        <w:snapToGrid w:val="0"/>
        <w:spacing w:line="420" w:lineRule="exact"/>
        <w:ind w:firstLine="494" w:firstLineChars="206"/>
        <w:rPr>
          <w:rFonts w:ascii="宋体" w:hAnsi="宋体" w:eastAsia="宋体" w:cs="宋体"/>
          <w:kern w:val="0"/>
          <w:sz w:val="24"/>
          <w:szCs w:val="24"/>
          <w:highlight w:val="none"/>
        </w:rPr>
      </w:pPr>
      <w:r>
        <w:rPr>
          <w:rFonts w:hint="eastAsia" w:ascii="宋体" w:hAnsi="宋体" w:eastAsia="宋体" w:cs="宋体"/>
          <w:kern w:val="0"/>
          <w:sz w:val="24"/>
          <w:szCs w:val="24"/>
          <w:highlight w:val="none"/>
        </w:rPr>
        <w:t>（1）从业人员、营业收入、资产总额填报上一年度数据，无上一年度数据的新成立企业可不填报。</w:t>
      </w:r>
    </w:p>
    <w:p>
      <w:pPr>
        <w:snapToGrid w:val="0"/>
        <w:spacing w:line="420" w:lineRule="exact"/>
        <w:ind w:firstLine="494" w:firstLineChars="206"/>
        <w:rPr>
          <w:rFonts w:ascii="宋体" w:hAnsi="宋体" w:eastAsia="宋体" w:cs="宋体"/>
          <w:kern w:val="0"/>
          <w:sz w:val="24"/>
          <w:szCs w:val="24"/>
          <w:highlight w:val="none"/>
        </w:rPr>
      </w:pPr>
      <w:r>
        <w:rPr>
          <w:rFonts w:hint="eastAsia" w:ascii="宋体" w:hAnsi="宋体" w:eastAsia="宋体" w:cs="宋体"/>
          <w:kern w:val="0"/>
          <w:sz w:val="24"/>
          <w:szCs w:val="24"/>
          <w:highlight w:val="none"/>
        </w:rPr>
        <w:t>（2）关于落实政府采购政策的中小微企业价格评审，详见本竞争性磋商文件第四章第四条第5点的规定内容。</w:t>
      </w:r>
    </w:p>
    <w:p>
      <w:pPr>
        <w:snapToGrid w:val="0"/>
        <w:spacing w:line="420" w:lineRule="exact"/>
        <w:ind w:firstLine="496" w:firstLineChars="206"/>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（3）本项目不享受中小企业扶持政策的响应供应商，无须提供“中小企业声明函”。</w:t>
      </w:r>
    </w:p>
    <w:p>
      <w:pPr>
        <w:kinsoku w:val="0"/>
        <w:topLinePunct/>
        <w:snapToGrid w:val="0"/>
        <w:spacing w:line="420" w:lineRule="exact"/>
        <w:ind w:firstLine="3360" w:firstLineChars="1400"/>
        <w:rPr>
          <w:rFonts w:ascii="宋体" w:hAnsi="宋体" w:eastAsia="宋体"/>
          <w:color w:val="auto"/>
          <w:sz w:val="24"/>
          <w:szCs w:val="24"/>
          <w:highlight w:val="none"/>
        </w:rPr>
      </w:pPr>
    </w:p>
    <w:p>
      <w:pPr>
        <w:spacing w:line="420" w:lineRule="exact"/>
        <w:rPr>
          <w:rFonts w:ascii="黑体" w:hAnsi="黑体" w:eastAsia="黑体"/>
          <w:color w:val="auto"/>
          <w:sz w:val="24"/>
          <w:szCs w:val="24"/>
          <w:highlight w:val="none"/>
        </w:rPr>
      </w:pPr>
    </w:p>
    <w:p>
      <w:pPr>
        <w:pStyle w:val="48"/>
        <w:spacing w:before="120"/>
        <w:ind w:firstLine="602"/>
        <w:jc w:val="left"/>
        <w:rPr>
          <w:rFonts w:ascii="黑体" w:hAnsi="黑体" w:eastAsia="黑体" w:cs="Times New Roman"/>
          <w:b/>
          <w:bCs/>
          <w:color w:val="auto"/>
          <w:highlight w:val="none"/>
        </w:rPr>
      </w:pPr>
      <w:r>
        <w:rPr>
          <w:rFonts w:hint="eastAsia" w:ascii="黑体" w:hAnsi="黑体" w:eastAsia="黑体"/>
          <w:color w:val="auto"/>
          <w:sz w:val="24"/>
          <w:szCs w:val="24"/>
          <w:highlight w:val="none"/>
        </w:rPr>
        <w:t xml:space="preserve">     </w:t>
      </w:r>
    </w:p>
    <w:p>
      <w:pPr>
        <w:pStyle w:val="48"/>
        <w:spacing w:before="120"/>
        <w:ind w:firstLine="602"/>
        <w:jc w:val="left"/>
        <w:rPr>
          <w:rFonts w:ascii="黑体" w:hAnsi="黑体" w:eastAsia="黑体" w:cs="Times New Roman"/>
          <w:b/>
          <w:bCs/>
          <w:color w:val="auto"/>
          <w:highlight w:val="none"/>
        </w:rPr>
      </w:pPr>
    </w:p>
    <w:p>
      <w:pPr>
        <w:spacing w:line="420" w:lineRule="exact"/>
        <w:ind w:firstLine="480" w:firstLineChars="200"/>
        <w:rPr>
          <w:rFonts w:ascii="宋体" w:hAnsi="宋体" w:eastAsia="宋体"/>
          <w:color w:val="auto"/>
          <w:sz w:val="24"/>
          <w:szCs w:val="24"/>
          <w:highlight w:val="none"/>
        </w:rPr>
      </w:pPr>
    </w:p>
    <w:p>
      <w:pPr>
        <w:pStyle w:val="44"/>
        <w:rPr>
          <w:rFonts w:ascii="宋体" w:hAnsi="宋体" w:eastAsia="宋体"/>
          <w:color w:val="auto"/>
          <w:sz w:val="24"/>
          <w:szCs w:val="24"/>
          <w:highlight w:val="none"/>
        </w:rPr>
      </w:pPr>
    </w:p>
    <w:p>
      <w:pPr>
        <w:pStyle w:val="44"/>
        <w:rPr>
          <w:rFonts w:ascii="宋体" w:hAnsi="宋体" w:eastAsia="宋体"/>
          <w:color w:val="auto"/>
          <w:sz w:val="24"/>
          <w:szCs w:val="24"/>
          <w:highlight w:val="none"/>
        </w:rPr>
      </w:pPr>
    </w:p>
    <w:p>
      <w:pPr>
        <w:snapToGrid w:val="0"/>
        <w:spacing w:line="360" w:lineRule="auto"/>
        <w:ind w:firstLine="662" w:firstLineChars="206"/>
        <w:jc w:val="center"/>
        <w:rPr>
          <w:rFonts w:ascii="宋体" w:hAnsi="宋体" w:eastAsia="宋体" w:cs="仿宋"/>
          <w:b/>
          <w:color w:val="auto"/>
          <w:sz w:val="28"/>
          <w:szCs w:val="28"/>
          <w:highlight w:val="none"/>
        </w:rPr>
      </w:pPr>
      <w:r>
        <w:rPr>
          <w:rFonts w:hint="eastAsia" w:ascii="宋体" w:hAnsi="宋体" w:eastAsia="宋体" w:cs="仿宋"/>
          <w:b/>
          <w:color w:val="auto"/>
          <w:sz w:val="32"/>
          <w:szCs w:val="32"/>
          <w:highlight w:val="none"/>
        </w:rPr>
        <w:t>满意度调查表</w:t>
      </w:r>
    </w:p>
    <w:tbl>
      <w:tblPr>
        <w:tblStyle w:val="49"/>
        <w:tblW w:w="93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999"/>
        <w:gridCol w:w="1427"/>
        <w:gridCol w:w="69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trHeight w:val="520" w:hRule="atLeast"/>
          <w:jc w:val="center"/>
        </w:trPr>
        <w:tc>
          <w:tcPr>
            <w:tcW w:w="2426" w:type="dxa"/>
            <w:gridSpan w:val="2"/>
            <w:tcBorders>
              <w:top w:val="single" w:color="auto" w:sz="12" w:space="0"/>
              <w:left w:val="single" w:color="auto" w:sz="4" w:space="0"/>
            </w:tcBorders>
            <w:vAlign w:val="center"/>
          </w:tcPr>
          <w:p>
            <w:pPr>
              <w:spacing w:line="360" w:lineRule="auto"/>
              <w:ind w:left="-445" w:leftChars="-171"/>
              <w:rPr>
                <w:rFonts w:ascii="宋体" w:hAnsi="宋体" w:eastAsia="宋体" w:cs="宋体"/>
                <w:bCs/>
                <w:color w:val="auto"/>
                <w:kern w:val="0"/>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b/>
                <w:color w:val="auto"/>
                <w:sz w:val="24"/>
                <w:szCs w:val="24"/>
                <w:highlight w:val="none"/>
              </w:rPr>
              <w:t xml:space="preserve">  </w:t>
            </w:r>
            <w:r>
              <w:rPr>
                <w:rFonts w:hint="eastAsia" w:ascii="宋体" w:hAnsi="宋体" w:eastAsia="宋体" w:cs="宋体"/>
                <w:bCs/>
                <w:color w:val="auto"/>
                <w:kern w:val="0"/>
                <w:sz w:val="24"/>
                <w:szCs w:val="24"/>
                <w:highlight w:val="none"/>
              </w:rPr>
              <w:t>项目名称</w:t>
            </w:r>
          </w:p>
        </w:tc>
        <w:tc>
          <w:tcPr>
            <w:tcW w:w="6919" w:type="dxa"/>
            <w:tcBorders>
              <w:top w:val="single" w:color="auto" w:sz="12" w:space="0"/>
              <w:right w:val="single" w:color="auto" w:sz="4" w:space="0"/>
            </w:tcBorders>
            <w:vAlign w:val="center"/>
          </w:tcPr>
          <w:p>
            <w:pPr>
              <w:widowControl/>
              <w:jc w:val="center"/>
              <w:rPr>
                <w:rFonts w:hint="eastAsia" w:ascii="宋体" w:hAnsi="宋体" w:eastAsia="宋体" w:cs="宋体"/>
                <w:bCs/>
                <w:color w:val="auto"/>
                <w:kern w:val="0"/>
                <w:sz w:val="24"/>
                <w:szCs w:val="24"/>
                <w:highlight w:val="none"/>
                <w:lang w:eastAsia="zh-CN"/>
              </w:rPr>
            </w:pPr>
            <w:r>
              <w:rPr>
                <w:rFonts w:hint="eastAsia" w:ascii="宋体" w:hAnsi="宋体" w:eastAsia="宋体" w:cs="宋体"/>
                <w:color w:val="auto"/>
                <w:sz w:val="24"/>
                <w:szCs w:val="24"/>
                <w:highlight w:val="none"/>
                <w:lang w:eastAsia="zh-CN"/>
              </w:rPr>
              <w:t>南通市委老干部局视频拍摄项目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trHeight w:val="520" w:hRule="atLeast"/>
          <w:jc w:val="center"/>
        </w:trPr>
        <w:tc>
          <w:tcPr>
            <w:tcW w:w="2426" w:type="dxa"/>
            <w:gridSpan w:val="2"/>
            <w:tcBorders>
              <w:left w:val="single" w:color="auto" w:sz="4" w:space="0"/>
            </w:tcBorders>
            <w:vAlign w:val="center"/>
          </w:tcPr>
          <w:p>
            <w:pPr>
              <w:autoSpaceDE w:val="0"/>
              <w:autoSpaceDN w:val="0"/>
              <w:adjustRightInd w:val="0"/>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项目负责人</w:t>
            </w:r>
          </w:p>
        </w:tc>
        <w:tc>
          <w:tcPr>
            <w:tcW w:w="6919" w:type="dxa"/>
            <w:tcBorders>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trHeight w:val="520" w:hRule="atLeast"/>
          <w:jc w:val="center"/>
        </w:trPr>
        <w:tc>
          <w:tcPr>
            <w:tcW w:w="2426" w:type="dxa"/>
            <w:gridSpan w:val="2"/>
            <w:tcBorders>
              <w:left w:val="single" w:color="auto" w:sz="4" w:space="0"/>
            </w:tcBorders>
            <w:vAlign w:val="center"/>
          </w:tcPr>
          <w:p>
            <w:pPr>
              <w:autoSpaceDE w:val="0"/>
              <w:autoSpaceDN w:val="0"/>
              <w:adjustRightInd w:val="0"/>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服务时间</w:t>
            </w:r>
          </w:p>
        </w:tc>
        <w:tc>
          <w:tcPr>
            <w:tcW w:w="6919" w:type="dxa"/>
            <w:tcBorders>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trHeight w:val="520" w:hRule="atLeast"/>
          <w:jc w:val="center"/>
        </w:trPr>
        <w:tc>
          <w:tcPr>
            <w:tcW w:w="9345" w:type="dxa"/>
            <w:gridSpan w:val="3"/>
            <w:tcBorders>
              <w:left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对项目组工作的评价：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trHeight w:val="1494" w:hRule="atLeast"/>
          <w:jc w:val="center"/>
        </w:trPr>
        <w:tc>
          <w:tcPr>
            <w:tcW w:w="999" w:type="dxa"/>
            <w:tcBorders>
              <w:left w:val="single" w:color="auto" w:sz="4" w:space="0"/>
            </w:tcBorders>
            <w:vAlign w:val="center"/>
          </w:tcPr>
          <w:p>
            <w:pPr>
              <w:autoSpaceDE w:val="0"/>
              <w:autoSpaceDN w:val="0"/>
              <w:adjustRightInd w:val="0"/>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项目负责人综合素质</w:t>
            </w:r>
          </w:p>
        </w:tc>
        <w:tc>
          <w:tcPr>
            <w:tcW w:w="8346" w:type="dxa"/>
            <w:gridSpan w:val="2"/>
            <w:tcBorders>
              <w:right w:val="single" w:color="auto" w:sz="4" w:space="0"/>
            </w:tcBorders>
            <w:vAlign w:val="center"/>
          </w:tcPr>
          <w:p>
            <w:pPr>
              <w:autoSpaceDE w:val="0"/>
              <w:autoSpaceDN w:val="0"/>
              <w:adjustRightInd w:val="0"/>
              <w:spacing w:line="360" w:lineRule="auto"/>
              <w:rPr>
                <w:rFonts w:ascii="宋体" w:hAnsi="宋体" w:eastAsia="宋体" w:cs="宋体"/>
                <w:bCs/>
                <w:color w:val="auto"/>
                <w:kern w:val="0"/>
                <w:sz w:val="24"/>
                <w:szCs w:val="24"/>
                <w:highlight w:val="none"/>
              </w:rPr>
            </w:pPr>
            <w:r>
              <w:rPr>
                <w:rFonts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rPr>
              <w:t>业务水平</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□好</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□较好</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□一般</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□不满意</w:t>
            </w:r>
          </w:p>
          <w:p>
            <w:pPr>
              <w:autoSpaceDE w:val="0"/>
              <w:autoSpaceDN w:val="0"/>
              <w:adjustRightInd w:val="0"/>
              <w:spacing w:line="360" w:lineRule="auto"/>
              <w:rPr>
                <w:rFonts w:ascii="宋体" w:hAnsi="宋体" w:eastAsia="宋体" w:cs="宋体"/>
                <w:bCs/>
                <w:color w:val="auto"/>
                <w:kern w:val="0"/>
                <w:sz w:val="24"/>
                <w:szCs w:val="24"/>
                <w:highlight w:val="none"/>
              </w:rPr>
            </w:pPr>
            <w:r>
              <w:rPr>
                <w:rFonts w:ascii="宋体" w:hAnsi="宋体" w:eastAsia="宋体" w:cs="宋体"/>
                <w:bCs/>
                <w:color w:val="auto"/>
                <w:kern w:val="0"/>
                <w:sz w:val="24"/>
                <w:szCs w:val="24"/>
                <w:highlight w:val="none"/>
              </w:rPr>
              <w:t>2.</w:t>
            </w:r>
            <w:r>
              <w:rPr>
                <w:rFonts w:hint="eastAsia" w:ascii="宋体" w:hAnsi="宋体" w:eastAsia="宋体" w:cs="宋体"/>
                <w:bCs/>
                <w:color w:val="auto"/>
                <w:kern w:val="0"/>
                <w:sz w:val="24"/>
                <w:szCs w:val="24"/>
                <w:highlight w:val="none"/>
              </w:rPr>
              <w:t>组织协调</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□好</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□较好</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□一般</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□不满意</w:t>
            </w:r>
          </w:p>
          <w:p>
            <w:pPr>
              <w:autoSpaceDE w:val="0"/>
              <w:autoSpaceDN w:val="0"/>
              <w:adjustRightInd w:val="0"/>
              <w:spacing w:line="360" w:lineRule="auto"/>
              <w:rPr>
                <w:rFonts w:ascii="宋体" w:hAnsi="宋体" w:eastAsia="宋体" w:cs="宋体"/>
                <w:bCs/>
                <w:color w:val="auto"/>
                <w:kern w:val="0"/>
                <w:sz w:val="24"/>
                <w:szCs w:val="24"/>
                <w:highlight w:val="none"/>
              </w:rPr>
            </w:pPr>
            <w:r>
              <w:rPr>
                <w:rFonts w:ascii="宋体" w:hAnsi="宋体" w:eastAsia="宋体" w:cs="宋体"/>
                <w:bCs/>
                <w:color w:val="auto"/>
                <w:kern w:val="0"/>
                <w:sz w:val="24"/>
                <w:szCs w:val="24"/>
                <w:highlight w:val="none"/>
              </w:rPr>
              <w:t>3.</w:t>
            </w:r>
            <w:r>
              <w:rPr>
                <w:rFonts w:hint="eastAsia" w:ascii="宋体" w:hAnsi="宋体" w:eastAsia="宋体" w:cs="宋体"/>
                <w:bCs/>
                <w:color w:val="auto"/>
                <w:kern w:val="0"/>
                <w:sz w:val="24"/>
                <w:szCs w:val="24"/>
                <w:highlight w:val="none"/>
              </w:rPr>
              <w:t>责任性</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□好</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□较好</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□一般</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□不满意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trHeight w:val="1887" w:hRule="atLeast"/>
          <w:jc w:val="center"/>
        </w:trPr>
        <w:tc>
          <w:tcPr>
            <w:tcW w:w="999" w:type="dxa"/>
            <w:tcBorders>
              <w:left w:val="single" w:color="auto" w:sz="4" w:space="0"/>
            </w:tcBorders>
            <w:vAlign w:val="center"/>
          </w:tcPr>
          <w:p>
            <w:pPr>
              <w:autoSpaceDE w:val="0"/>
              <w:autoSpaceDN w:val="0"/>
              <w:adjustRightInd w:val="0"/>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项目组工作评价</w:t>
            </w:r>
          </w:p>
        </w:tc>
        <w:tc>
          <w:tcPr>
            <w:tcW w:w="8346" w:type="dxa"/>
            <w:gridSpan w:val="2"/>
            <w:tcBorders>
              <w:right w:val="single" w:color="auto" w:sz="4" w:space="0"/>
            </w:tcBorders>
            <w:vAlign w:val="center"/>
          </w:tcPr>
          <w:p>
            <w:pPr>
              <w:autoSpaceDE w:val="0"/>
              <w:autoSpaceDN w:val="0"/>
              <w:adjustRightInd w:val="0"/>
              <w:spacing w:line="360" w:lineRule="auto"/>
              <w:rPr>
                <w:rFonts w:ascii="宋体" w:hAnsi="宋体" w:eastAsia="宋体" w:cs="宋体"/>
                <w:bCs/>
                <w:color w:val="auto"/>
                <w:kern w:val="0"/>
                <w:sz w:val="24"/>
                <w:szCs w:val="24"/>
                <w:highlight w:val="none"/>
              </w:rPr>
            </w:pPr>
            <w:r>
              <w:rPr>
                <w:rFonts w:ascii="宋体" w:hAnsi="宋体" w:eastAsia="宋体" w:cs="宋体"/>
                <w:bCs/>
                <w:color w:val="auto"/>
                <w:kern w:val="0"/>
                <w:sz w:val="24"/>
                <w:szCs w:val="24"/>
                <w:highlight w:val="none"/>
              </w:rPr>
              <w:t>4.</w:t>
            </w:r>
            <w:r>
              <w:rPr>
                <w:rFonts w:hint="eastAsia" w:ascii="宋体" w:hAnsi="宋体" w:eastAsia="宋体" w:cs="宋体"/>
                <w:bCs/>
                <w:color w:val="auto"/>
                <w:kern w:val="0"/>
                <w:sz w:val="24"/>
                <w:szCs w:val="24"/>
                <w:highlight w:val="none"/>
              </w:rPr>
              <w:t>合同履约</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□好</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□较好</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□一般</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□不满意</w:t>
            </w:r>
          </w:p>
          <w:p>
            <w:pPr>
              <w:autoSpaceDE w:val="0"/>
              <w:autoSpaceDN w:val="0"/>
              <w:adjustRightInd w:val="0"/>
              <w:spacing w:line="360" w:lineRule="auto"/>
              <w:rPr>
                <w:rFonts w:ascii="宋体" w:hAnsi="宋体" w:eastAsia="宋体" w:cs="宋体"/>
                <w:bCs/>
                <w:color w:val="auto"/>
                <w:kern w:val="0"/>
                <w:sz w:val="24"/>
                <w:szCs w:val="24"/>
                <w:highlight w:val="none"/>
              </w:rPr>
            </w:pPr>
            <w:r>
              <w:rPr>
                <w:rFonts w:ascii="宋体" w:hAnsi="宋体" w:eastAsia="宋体" w:cs="宋体"/>
                <w:bCs/>
                <w:color w:val="auto"/>
                <w:kern w:val="0"/>
                <w:sz w:val="24"/>
                <w:szCs w:val="24"/>
                <w:highlight w:val="none"/>
              </w:rPr>
              <w:t>5.</w:t>
            </w:r>
            <w:r>
              <w:rPr>
                <w:rFonts w:hint="eastAsia" w:ascii="宋体" w:hAnsi="宋体" w:eastAsia="宋体" w:cs="宋体"/>
                <w:bCs/>
                <w:color w:val="auto"/>
                <w:kern w:val="0"/>
                <w:sz w:val="24"/>
                <w:szCs w:val="24"/>
                <w:highlight w:val="none"/>
              </w:rPr>
              <w:t>工作质量</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□好</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□较好</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□一般</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□不满意</w:t>
            </w:r>
          </w:p>
          <w:p>
            <w:pPr>
              <w:autoSpaceDE w:val="0"/>
              <w:autoSpaceDN w:val="0"/>
              <w:adjustRightInd w:val="0"/>
              <w:spacing w:line="360" w:lineRule="auto"/>
              <w:rPr>
                <w:rFonts w:ascii="宋体" w:hAnsi="宋体" w:eastAsia="宋体" w:cs="宋体"/>
                <w:bCs/>
                <w:color w:val="auto"/>
                <w:kern w:val="0"/>
                <w:sz w:val="24"/>
                <w:szCs w:val="24"/>
                <w:highlight w:val="none"/>
              </w:rPr>
            </w:pPr>
            <w:r>
              <w:rPr>
                <w:rFonts w:ascii="宋体" w:hAnsi="宋体" w:eastAsia="宋体" w:cs="宋体"/>
                <w:bCs/>
                <w:color w:val="auto"/>
                <w:kern w:val="0"/>
                <w:sz w:val="24"/>
                <w:szCs w:val="24"/>
                <w:highlight w:val="none"/>
              </w:rPr>
              <w:t>6.</w:t>
            </w:r>
            <w:r>
              <w:rPr>
                <w:rFonts w:hint="eastAsia" w:ascii="宋体" w:hAnsi="宋体" w:eastAsia="宋体" w:cs="宋体"/>
                <w:bCs/>
                <w:color w:val="auto"/>
                <w:kern w:val="0"/>
                <w:sz w:val="24"/>
                <w:szCs w:val="24"/>
                <w:highlight w:val="none"/>
              </w:rPr>
              <w:t>工作效率</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□好</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□较好</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□一般</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□不满意</w:t>
            </w:r>
          </w:p>
          <w:p>
            <w:pPr>
              <w:autoSpaceDE w:val="0"/>
              <w:autoSpaceDN w:val="0"/>
              <w:adjustRightInd w:val="0"/>
              <w:spacing w:line="360" w:lineRule="auto"/>
              <w:rPr>
                <w:rFonts w:ascii="宋体" w:hAnsi="宋体" w:eastAsia="宋体" w:cs="宋体"/>
                <w:bCs/>
                <w:color w:val="auto"/>
                <w:kern w:val="0"/>
                <w:sz w:val="24"/>
                <w:szCs w:val="24"/>
                <w:highlight w:val="none"/>
              </w:rPr>
            </w:pPr>
            <w:r>
              <w:rPr>
                <w:rFonts w:ascii="宋体" w:hAnsi="宋体" w:eastAsia="宋体" w:cs="宋体"/>
                <w:bCs/>
                <w:color w:val="auto"/>
                <w:kern w:val="0"/>
                <w:sz w:val="24"/>
                <w:szCs w:val="24"/>
                <w:highlight w:val="none"/>
              </w:rPr>
              <w:t>7.</w:t>
            </w:r>
            <w:r>
              <w:rPr>
                <w:rFonts w:hint="eastAsia" w:ascii="宋体" w:hAnsi="宋体" w:eastAsia="宋体" w:cs="宋体"/>
                <w:bCs/>
                <w:color w:val="auto"/>
                <w:kern w:val="0"/>
                <w:sz w:val="24"/>
                <w:szCs w:val="24"/>
                <w:highlight w:val="none"/>
              </w:rPr>
              <w:t>服务态度</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□好</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□较好</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□一般</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□不满意</w:t>
            </w:r>
          </w:p>
          <w:p>
            <w:pPr>
              <w:autoSpaceDE w:val="0"/>
              <w:autoSpaceDN w:val="0"/>
              <w:adjustRightInd w:val="0"/>
              <w:spacing w:line="360" w:lineRule="auto"/>
              <w:rPr>
                <w:rFonts w:ascii="宋体" w:hAnsi="宋体" w:eastAsia="宋体" w:cs="宋体"/>
                <w:bCs/>
                <w:color w:val="auto"/>
                <w:kern w:val="0"/>
                <w:sz w:val="24"/>
                <w:szCs w:val="24"/>
                <w:highlight w:val="none"/>
              </w:rPr>
            </w:pPr>
            <w:r>
              <w:rPr>
                <w:rFonts w:ascii="宋体" w:hAnsi="宋体" w:eastAsia="宋体" w:cs="宋体"/>
                <w:bCs/>
                <w:color w:val="auto"/>
                <w:kern w:val="0"/>
                <w:sz w:val="24"/>
                <w:szCs w:val="24"/>
                <w:highlight w:val="none"/>
              </w:rPr>
              <w:t>8.</w:t>
            </w:r>
            <w:r>
              <w:rPr>
                <w:rFonts w:hint="eastAsia" w:ascii="宋体" w:hAnsi="宋体" w:eastAsia="宋体" w:cs="宋体"/>
                <w:bCs/>
                <w:color w:val="auto"/>
                <w:kern w:val="0"/>
                <w:sz w:val="24"/>
                <w:szCs w:val="24"/>
                <w:highlight w:val="none"/>
              </w:rPr>
              <w:t>工作资料</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□好</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□较好</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□一般</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□不满意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trHeight w:val="607" w:hRule="atLeast"/>
          <w:jc w:val="center"/>
        </w:trPr>
        <w:tc>
          <w:tcPr>
            <w:tcW w:w="9345" w:type="dxa"/>
            <w:gridSpan w:val="3"/>
            <w:tcBorders>
              <w:left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综合评价</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□满意</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□基本满意</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□不满意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trHeight w:val="4692" w:hRule="atLeast"/>
          <w:jc w:val="center"/>
        </w:trPr>
        <w:tc>
          <w:tcPr>
            <w:tcW w:w="9345" w:type="dxa"/>
            <w:gridSpan w:val="3"/>
            <w:tcBorders>
              <w:left w:val="single" w:color="auto" w:sz="4" w:space="0"/>
              <w:bottom w:val="single" w:color="auto" w:sz="12" w:space="0"/>
              <w:right w:val="single" w:color="auto" w:sz="4" w:space="0"/>
            </w:tcBorders>
          </w:tcPr>
          <w:p>
            <w:pPr>
              <w:autoSpaceDE w:val="0"/>
              <w:autoSpaceDN w:val="0"/>
              <w:adjustRightInd w:val="0"/>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对项目组工作的要求与建议</w:t>
            </w:r>
            <w:r>
              <w:rPr>
                <w:rFonts w:ascii="宋体" w:hAnsi="宋体" w:eastAsia="宋体" w:cs="宋体"/>
                <w:bCs/>
                <w:color w:val="auto"/>
                <w:kern w:val="0"/>
                <w:sz w:val="24"/>
                <w:szCs w:val="24"/>
                <w:highlight w:val="none"/>
              </w:rPr>
              <w:t>:</w:t>
            </w:r>
          </w:p>
          <w:p>
            <w:pPr>
              <w:autoSpaceDE w:val="0"/>
              <w:autoSpaceDN w:val="0"/>
              <w:adjustRightInd w:val="0"/>
              <w:spacing w:line="360" w:lineRule="auto"/>
              <w:rPr>
                <w:rFonts w:ascii="宋体" w:hAnsi="宋体" w:eastAsia="宋体" w:cs="宋体"/>
                <w:bCs/>
                <w:color w:val="auto"/>
                <w:kern w:val="0"/>
                <w:sz w:val="24"/>
                <w:szCs w:val="24"/>
                <w:highlight w:val="none"/>
              </w:rPr>
            </w:pPr>
          </w:p>
          <w:p>
            <w:pPr>
              <w:autoSpaceDE w:val="0"/>
              <w:autoSpaceDN w:val="0"/>
              <w:adjustRightInd w:val="0"/>
              <w:spacing w:line="360" w:lineRule="auto"/>
              <w:jc w:val="center"/>
              <w:rPr>
                <w:rFonts w:ascii="宋体" w:hAnsi="宋体" w:eastAsia="宋体" w:cs="宋体"/>
                <w:bCs/>
                <w:color w:val="auto"/>
                <w:kern w:val="0"/>
                <w:sz w:val="24"/>
                <w:szCs w:val="24"/>
                <w:highlight w:val="none"/>
              </w:rPr>
            </w:pPr>
          </w:p>
          <w:p>
            <w:pPr>
              <w:spacing w:after="120" w:line="360" w:lineRule="auto"/>
              <w:ind w:left="520" w:leftChars="200" w:firstLine="480" w:firstLineChars="200"/>
              <w:rPr>
                <w:rFonts w:ascii="宋体" w:hAnsi="宋体" w:eastAsia="宋体" w:cs="宋体"/>
                <w:bCs/>
                <w:color w:val="auto"/>
                <w:kern w:val="0"/>
                <w:sz w:val="24"/>
                <w:szCs w:val="24"/>
                <w:highlight w:val="none"/>
              </w:rPr>
            </w:pPr>
          </w:p>
          <w:p>
            <w:pPr>
              <w:spacing w:after="120" w:line="360" w:lineRule="auto"/>
              <w:ind w:left="520" w:leftChars="200" w:firstLine="480" w:firstLineChars="200"/>
              <w:rPr>
                <w:rFonts w:ascii="宋体" w:hAnsi="宋体" w:eastAsia="宋体" w:cs="宋体"/>
                <w:bCs/>
                <w:color w:val="auto"/>
                <w:kern w:val="0"/>
                <w:sz w:val="24"/>
                <w:szCs w:val="24"/>
                <w:highlight w:val="none"/>
              </w:rPr>
            </w:pPr>
          </w:p>
          <w:p>
            <w:pPr>
              <w:spacing w:after="120" w:line="360" w:lineRule="auto"/>
              <w:ind w:left="520" w:leftChars="200" w:firstLine="480" w:firstLineChars="200"/>
              <w:rPr>
                <w:rFonts w:ascii="宋体" w:hAnsi="宋体" w:eastAsia="宋体" w:cs="宋体"/>
                <w:bCs/>
                <w:color w:val="auto"/>
                <w:kern w:val="0"/>
                <w:sz w:val="24"/>
                <w:szCs w:val="24"/>
                <w:highlight w:val="none"/>
              </w:rPr>
            </w:pPr>
          </w:p>
          <w:p>
            <w:pPr>
              <w:spacing w:after="120" w:line="360" w:lineRule="auto"/>
              <w:ind w:left="520" w:leftChars="200" w:firstLine="480" w:firstLineChars="200"/>
              <w:rPr>
                <w:rFonts w:ascii="宋体" w:hAnsi="宋体" w:eastAsia="宋体" w:cs="宋体"/>
                <w:bCs/>
                <w:color w:val="auto"/>
                <w:kern w:val="0"/>
                <w:sz w:val="24"/>
                <w:szCs w:val="24"/>
                <w:highlight w:val="none"/>
              </w:rPr>
            </w:pPr>
          </w:p>
          <w:p>
            <w:pPr>
              <w:spacing w:after="120" w:line="360" w:lineRule="auto"/>
              <w:ind w:left="520" w:leftChars="200" w:firstLine="480" w:firstLineChars="200"/>
              <w:rPr>
                <w:rFonts w:ascii="宋体" w:hAnsi="宋体" w:eastAsia="宋体" w:cs="宋体"/>
                <w:bCs/>
                <w:color w:val="auto"/>
                <w:kern w:val="0"/>
                <w:sz w:val="24"/>
                <w:szCs w:val="24"/>
                <w:highlight w:val="none"/>
              </w:rPr>
            </w:pPr>
          </w:p>
          <w:p>
            <w:pPr>
              <w:autoSpaceDE w:val="0"/>
              <w:autoSpaceDN w:val="0"/>
              <w:adjustRightInd w:val="0"/>
              <w:spacing w:line="360" w:lineRule="auto"/>
              <w:jc w:val="center"/>
              <w:rPr>
                <w:rFonts w:ascii="宋体" w:hAnsi="宋体" w:eastAsia="宋体" w:cs="宋体"/>
                <w:bCs/>
                <w:color w:val="auto"/>
                <w:kern w:val="0"/>
                <w:sz w:val="24"/>
                <w:szCs w:val="24"/>
                <w:highlight w:val="none"/>
              </w:rPr>
            </w:pPr>
          </w:p>
          <w:p>
            <w:pPr>
              <w:autoSpaceDE w:val="0"/>
              <w:autoSpaceDN w:val="0"/>
              <w:adjustRightInd w:val="0"/>
              <w:spacing w:line="360" w:lineRule="auto"/>
              <w:jc w:val="center"/>
              <w:rPr>
                <w:rFonts w:ascii="宋体" w:hAnsi="宋体" w:eastAsia="宋体" w:cs="宋体"/>
                <w:bCs/>
                <w:color w:val="auto"/>
                <w:kern w:val="0"/>
                <w:sz w:val="24"/>
                <w:szCs w:val="24"/>
                <w:highlight w:val="none"/>
              </w:rPr>
            </w:pP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填写单位（签字或盖章）：</w:t>
            </w:r>
          </w:p>
          <w:p>
            <w:pPr>
              <w:autoSpaceDE w:val="0"/>
              <w:autoSpaceDN w:val="0"/>
              <w:adjustRightInd w:val="0"/>
              <w:spacing w:line="360" w:lineRule="auto"/>
              <w:jc w:val="righ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年</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月</w:t>
            </w:r>
            <w:r>
              <w:rPr>
                <w:rFonts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t>日</w:t>
            </w:r>
          </w:p>
        </w:tc>
      </w:tr>
    </w:tbl>
    <w:p>
      <w:pPr>
        <w:spacing w:after="120" w:line="360" w:lineRule="auto"/>
        <w:rPr>
          <w:rFonts w:hint="eastAsia" w:ascii="宋体" w:hAnsi="宋体" w:eastAsia="宋体" w:cs="仿宋"/>
          <w:b/>
          <w:color w:val="auto"/>
          <w:sz w:val="28"/>
          <w:szCs w:val="28"/>
          <w:highlight w:val="none"/>
        </w:rPr>
        <w:sectPr>
          <w:pgSz w:w="11906" w:h="16838"/>
          <w:pgMar w:top="1276" w:right="851" w:bottom="709" w:left="1418" w:header="851" w:footer="448" w:gutter="0"/>
          <w:pgNumType w:fmt="decimal"/>
          <w:cols w:space="720" w:num="1"/>
          <w:docGrid w:linePitch="380" w:charSpace="-5735"/>
        </w:sectPr>
      </w:pPr>
      <w:r>
        <w:rPr>
          <w:rFonts w:hint="eastAsia" w:ascii="宋体" w:hAnsi="宋体" w:eastAsia="宋体" w:cs="仿宋"/>
          <w:b/>
          <w:color w:val="auto"/>
          <w:sz w:val="28"/>
          <w:szCs w:val="28"/>
          <w:highlight w:val="none"/>
        </w:rPr>
        <w:t>注：本表盖章后随身携带，无须密封，与响应文件一并递交。</w:t>
      </w:r>
    </w:p>
    <w:p>
      <w:pPr>
        <w:spacing w:line="500" w:lineRule="exact"/>
        <w:rPr>
          <w:b/>
          <w:bCs/>
          <w:highlight w:val="none"/>
        </w:rPr>
      </w:pPr>
      <w:r>
        <w:rPr>
          <w:rFonts w:hint="eastAsia"/>
          <w:b/>
          <w:bCs/>
          <w:highlight w:val="none"/>
        </w:rPr>
        <w:t>附件：</w:t>
      </w:r>
    </w:p>
    <w:p>
      <w:pPr>
        <w:spacing w:line="500" w:lineRule="exact"/>
        <w:jc w:val="center"/>
        <w:rPr>
          <w:rFonts w:ascii="方正小标宋简体" w:hAnsi="黑体" w:eastAsia="方正小标宋简体"/>
          <w:sz w:val="36"/>
          <w:szCs w:val="36"/>
          <w:highlight w:val="none"/>
        </w:rPr>
      </w:pPr>
      <w:r>
        <w:rPr>
          <w:rFonts w:hint="eastAsia" w:ascii="宋体" w:hAnsi="宋体" w:cs="宋体"/>
          <w:b/>
          <w:sz w:val="36"/>
          <w:szCs w:val="36"/>
          <w:highlight w:val="none"/>
        </w:rPr>
        <w:t>政府采购采购人信用承诺书</w:t>
      </w:r>
    </w:p>
    <w:p>
      <w:pPr>
        <w:spacing w:line="52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为维护公开、公平、公正的政府采购市场秩序,树立采购人诚信守法形象</w:t>
      </w:r>
      <w:r>
        <w:rPr>
          <w:rFonts w:hint="eastAsia" w:ascii="仿宋_GB2312" w:hAnsi="宋体" w:eastAsia="仿宋_GB2312" w:cs="宋体"/>
          <w:sz w:val="28"/>
          <w:szCs w:val="28"/>
          <w:highlight w:val="none"/>
        </w:rPr>
        <w:t>,对我单位在</w:t>
      </w:r>
      <w:r>
        <w:rPr>
          <w:rFonts w:hint="eastAsia" w:ascii="仿宋_GB2312" w:hAnsi="宋体" w:eastAsia="仿宋_GB2312" w:cs="宋体"/>
          <w:b/>
          <w:bCs/>
          <w:sz w:val="28"/>
          <w:szCs w:val="28"/>
          <w:highlight w:val="none"/>
          <w:u w:val="thick"/>
        </w:rPr>
        <w:t xml:space="preserve"> </w:t>
      </w:r>
      <w:r>
        <w:rPr>
          <w:rFonts w:hint="eastAsia" w:ascii="仿宋_GB2312" w:hAnsi="宋体" w:eastAsia="仿宋_GB2312" w:cs="宋体"/>
          <w:b/>
          <w:bCs/>
          <w:sz w:val="28"/>
          <w:szCs w:val="28"/>
          <w:highlight w:val="none"/>
          <w:u w:val="thick"/>
          <w:lang w:eastAsia="zh-CN"/>
        </w:rPr>
        <w:t>南通市委老干部局视频拍摄项目</w:t>
      </w:r>
      <w:r>
        <w:rPr>
          <w:rFonts w:hint="eastAsia" w:ascii="仿宋_GB2312" w:hAnsi="宋体" w:eastAsia="仿宋_GB2312" w:cs="宋体"/>
          <w:b/>
          <w:bCs/>
          <w:sz w:val="28"/>
          <w:szCs w:val="28"/>
          <w:highlight w:val="none"/>
          <w:u w:val="thick"/>
        </w:rPr>
        <w:t xml:space="preserve"> </w:t>
      </w:r>
      <w:r>
        <w:rPr>
          <w:rFonts w:hint="eastAsia" w:ascii="仿宋_GB2312" w:eastAsia="仿宋_GB2312"/>
          <w:sz w:val="28"/>
          <w:szCs w:val="28"/>
          <w:highlight w:val="none"/>
        </w:rPr>
        <w:t>政府采购活动中行为郑重承诺如下:</w:t>
      </w:r>
    </w:p>
    <w:p>
      <w:pPr>
        <w:pStyle w:val="48"/>
        <w:spacing w:before="120"/>
        <w:ind w:firstLine="700"/>
        <w:rPr>
          <w:rFonts w:ascii="仿宋_GB2312" w:eastAsia="仿宋_GB2312"/>
          <w:sz w:val="28"/>
          <w:szCs w:val="28"/>
          <w:highlight w:val="none"/>
        </w:rPr>
      </w:pPr>
      <w:r>
        <w:rPr>
          <w:rFonts w:hint="eastAsia" w:ascii="仿宋_GB2312" w:eastAsia="仿宋_GB2312"/>
          <w:sz w:val="28"/>
          <w:szCs w:val="28"/>
          <w:highlight w:val="none"/>
        </w:rPr>
        <w:t>一、按照“谁采购、谁负责”的原则，全面落实采购人主体责任；</w:t>
      </w:r>
    </w:p>
    <w:p>
      <w:pPr>
        <w:pStyle w:val="48"/>
        <w:spacing w:before="120"/>
        <w:ind w:firstLine="700"/>
        <w:rPr>
          <w:rFonts w:ascii="仿宋_GB2312" w:eastAsia="仿宋_GB2312"/>
          <w:sz w:val="28"/>
          <w:szCs w:val="28"/>
          <w:highlight w:val="none"/>
        </w:rPr>
      </w:pPr>
      <w:r>
        <w:rPr>
          <w:rFonts w:hint="eastAsia" w:ascii="仿宋_GB2312" w:eastAsia="仿宋_GB2312"/>
          <w:sz w:val="28"/>
          <w:szCs w:val="28"/>
          <w:highlight w:val="none"/>
        </w:rPr>
        <w:t>二、按照本项目采购预算，制订科学合理的采购需求。不与供应商恶意串通；不使用不合理的条件对供应商实行差别待遇或者歧视性待遇；不以任何手段排斥其他供应商参与竞争；不损害国家利益、社会利益和其他当事人的合法权益；</w:t>
      </w:r>
    </w:p>
    <w:p>
      <w:pPr>
        <w:pStyle w:val="48"/>
        <w:spacing w:before="120"/>
        <w:ind w:firstLine="700"/>
        <w:rPr>
          <w:rFonts w:ascii="仿宋_GB2312" w:eastAsia="仿宋_GB2312"/>
          <w:sz w:val="28"/>
          <w:szCs w:val="28"/>
          <w:highlight w:val="none"/>
        </w:rPr>
      </w:pPr>
      <w:r>
        <w:rPr>
          <w:rFonts w:hint="eastAsia" w:ascii="仿宋_GB2312" w:eastAsia="仿宋_GB2312"/>
          <w:sz w:val="28"/>
          <w:szCs w:val="28"/>
          <w:highlight w:val="none"/>
        </w:rPr>
        <w:t>三、严格保守秘密，不泄露应当保密的与采购活动有关的信息资料；不接受贿赂或者获取其他不正当利益；</w:t>
      </w:r>
    </w:p>
    <w:p>
      <w:pPr>
        <w:pStyle w:val="48"/>
        <w:spacing w:before="120"/>
        <w:ind w:firstLine="700"/>
        <w:rPr>
          <w:rFonts w:ascii="仿宋_GB2312" w:eastAsia="仿宋_GB2312"/>
          <w:sz w:val="28"/>
          <w:szCs w:val="28"/>
          <w:highlight w:val="none"/>
        </w:rPr>
      </w:pPr>
      <w:r>
        <w:rPr>
          <w:rFonts w:hint="eastAsia" w:ascii="仿宋_GB2312" w:eastAsia="仿宋_GB2312"/>
          <w:sz w:val="28"/>
          <w:szCs w:val="28"/>
          <w:highlight w:val="none"/>
        </w:rPr>
        <w:t>四、依法、及时、准确、完整公开政府采购信息；</w:t>
      </w:r>
    </w:p>
    <w:p>
      <w:pPr>
        <w:pStyle w:val="48"/>
        <w:spacing w:before="120"/>
        <w:ind w:firstLine="700"/>
        <w:rPr>
          <w:rFonts w:ascii="仿宋_GB2312" w:eastAsia="仿宋_GB2312"/>
          <w:sz w:val="28"/>
          <w:szCs w:val="28"/>
          <w:highlight w:val="none"/>
        </w:rPr>
      </w:pPr>
      <w:r>
        <w:rPr>
          <w:rFonts w:hint="eastAsia" w:ascii="仿宋_GB2312" w:eastAsia="仿宋_GB2312"/>
          <w:sz w:val="28"/>
          <w:szCs w:val="28"/>
          <w:highlight w:val="none"/>
        </w:rPr>
        <w:t>五、严格按照采购文件确定的事项签订采购合同，不擅自变更、中止、终止政府采购合同；</w:t>
      </w:r>
    </w:p>
    <w:p>
      <w:pPr>
        <w:pStyle w:val="48"/>
        <w:spacing w:before="120"/>
        <w:ind w:firstLine="700"/>
        <w:rPr>
          <w:rFonts w:ascii="仿宋_GB2312" w:eastAsia="仿宋_GB2312"/>
          <w:sz w:val="28"/>
          <w:szCs w:val="28"/>
          <w:highlight w:val="none"/>
        </w:rPr>
      </w:pPr>
      <w:r>
        <w:rPr>
          <w:rFonts w:hint="eastAsia" w:ascii="仿宋_GB2312" w:eastAsia="仿宋_GB2312"/>
          <w:sz w:val="28"/>
          <w:szCs w:val="28"/>
          <w:highlight w:val="none"/>
        </w:rPr>
        <w:t>六、严格按照采购合同开展履约验收，及时支付采购资金；</w:t>
      </w:r>
    </w:p>
    <w:p>
      <w:pPr>
        <w:pStyle w:val="48"/>
        <w:spacing w:before="120"/>
        <w:ind w:firstLine="700"/>
        <w:rPr>
          <w:rFonts w:ascii="仿宋_GB2312" w:eastAsia="仿宋_GB2312"/>
          <w:sz w:val="28"/>
          <w:szCs w:val="28"/>
          <w:highlight w:val="none"/>
        </w:rPr>
      </w:pPr>
      <w:r>
        <w:rPr>
          <w:rFonts w:hint="eastAsia" w:ascii="仿宋_GB2312" w:eastAsia="仿宋_GB2312"/>
          <w:sz w:val="28"/>
          <w:szCs w:val="28"/>
          <w:highlight w:val="none"/>
        </w:rPr>
        <w:t>七、严格按照《政府采购质疑和投诉办法》(财政部第94号令)答复供应商质疑，积极配合财政部门处理投诉等事项；</w:t>
      </w:r>
    </w:p>
    <w:p>
      <w:pPr>
        <w:pStyle w:val="48"/>
        <w:spacing w:before="120"/>
        <w:ind w:firstLine="700"/>
        <w:rPr>
          <w:rFonts w:ascii="仿宋_GB2312" w:eastAsia="仿宋_GB2312"/>
          <w:sz w:val="28"/>
          <w:szCs w:val="28"/>
          <w:highlight w:val="none"/>
        </w:rPr>
      </w:pPr>
      <w:r>
        <w:rPr>
          <w:rFonts w:hint="eastAsia" w:ascii="仿宋_GB2312" w:eastAsia="仿宋_GB2312"/>
          <w:sz w:val="28"/>
          <w:szCs w:val="28"/>
          <w:highlight w:val="none"/>
        </w:rPr>
        <w:t>八、遵守《中华人民共和国政府采购法》等国家法律、法规，自觉接受政府、社会公众、新闻舆论等监督；</w:t>
      </w:r>
    </w:p>
    <w:p>
      <w:pPr>
        <w:pStyle w:val="48"/>
        <w:spacing w:before="120"/>
        <w:ind w:firstLine="700"/>
        <w:rPr>
          <w:rFonts w:ascii="仿宋_GB2312" w:eastAsia="仿宋_GB2312"/>
          <w:sz w:val="28"/>
          <w:szCs w:val="28"/>
          <w:highlight w:val="none"/>
        </w:rPr>
      </w:pPr>
      <w:r>
        <w:rPr>
          <w:rFonts w:hint="eastAsia" w:ascii="仿宋_GB2312" w:eastAsia="仿宋_GB2312"/>
          <w:sz w:val="28"/>
          <w:szCs w:val="28"/>
          <w:highlight w:val="none"/>
        </w:rPr>
        <w:t>本单位若违背承诺约定，经查实，依法承担相应的法律责任。接受信用管理部门政务诚信网站严重失信行为的“黑名单”公示。</w:t>
      </w:r>
    </w:p>
    <w:p>
      <w:pPr>
        <w:pStyle w:val="48"/>
        <w:spacing w:before="120"/>
        <w:ind w:firstLine="700"/>
        <w:rPr>
          <w:rFonts w:ascii="仿宋_GB2312" w:eastAsia="仿宋_GB2312"/>
          <w:sz w:val="28"/>
          <w:szCs w:val="28"/>
          <w:highlight w:val="none"/>
        </w:rPr>
      </w:pPr>
    </w:p>
    <w:p>
      <w:pPr>
        <w:pStyle w:val="121"/>
        <w:spacing w:line="500" w:lineRule="exact"/>
        <w:ind w:firstLine="4620" w:firstLineChars="1650"/>
        <w:rPr>
          <w:rFonts w:ascii="仿宋_GB2312" w:eastAsia="仿宋_GB2312"/>
          <w:sz w:val="28"/>
          <w:szCs w:val="28"/>
          <w:highlight w:val="none"/>
        </w:rPr>
      </w:pPr>
      <w:r>
        <w:rPr>
          <w:rFonts w:hint="eastAsia" w:ascii="仿宋_GB2312" w:eastAsia="仿宋_GB2312"/>
          <w:sz w:val="28"/>
          <w:szCs w:val="28"/>
          <w:highlight w:val="none"/>
        </w:rPr>
        <w:t xml:space="preserve">  采购单位（盖章）</w:t>
      </w:r>
    </w:p>
    <w:p>
      <w:pPr>
        <w:pStyle w:val="2"/>
        <w:rPr>
          <w:highlight w:val="none"/>
        </w:rPr>
      </w:pPr>
      <w:r>
        <w:rPr>
          <w:rFonts w:hint="eastAsia" w:ascii="仿宋_GB2312" w:eastAsia="仿宋_GB2312"/>
          <w:sz w:val="28"/>
          <w:szCs w:val="28"/>
          <w:highlight w:val="none"/>
        </w:rPr>
        <w:t xml:space="preserve">                                      年   月  日</w:t>
      </w:r>
    </w:p>
    <w:p>
      <w:pPr>
        <w:pStyle w:val="44"/>
        <w:rPr>
          <w:rFonts w:ascii="宋体" w:hAnsi="宋体" w:eastAsia="宋体"/>
          <w:color w:val="auto"/>
          <w:sz w:val="24"/>
          <w:szCs w:val="24"/>
          <w:highlight w:val="none"/>
        </w:rPr>
      </w:pPr>
    </w:p>
    <w:sectPr>
      <w:pgSz w:w="11906" w:h="16838"/>
      <w:pgMar w:top="1276" w:right="851" w:bottom="709" w:left="1418" w:header="851" w:footer="448"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仿宋简体">
    <w:panose1 w:val="02010601030101010101"/>
    <w:charset w:val="86"/>
    <w:family w:val="auto"/>
    <w:pitch w:val="default"/>
    <w:sig w:usb0="00000001" w:usb1="080E0000" w:usb2="00000000" w:usb3="00000000" w:csb0="00040000" w:csb1="00000000"/>
  </w:font>
  <w:font w:name="创艺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enlo">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1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0"/>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BB4069"/>
    <w:multiLevelType w:val="multilevel"/>
    <w:tmpl w:val="5CBB4069"/>
    <w:lvl w:ilvl="0" w:tentative="0">
      <w:start w:val="1"/>
      <w:numFmt w:val="decimal"/>
      <w:lvlText w:val="%1."/>
      <w:lvlJc w:val="left"/>
      <w:pPr>
        <w:ind w:left="205" w:hanging="382"/>
        <w:jc w:val="left"/>
      </w:pPr>
      <w:rPr>
        <w:rFonts w:hint="default" w:ascii="仿宋" w:hAnsi="仿宋" w:eastAsia="仿宋" w:cs="仿宋"/>
        <w:spacing w:val="0"/>
        <w:w w:val="99"/>
        <w:sz w:val="32"/>
        <w:szCs w:val="32"/>
      </w:rPr>
    </w:lvl>
    <w:lvl w:ilvl="1" w:tentative="0">
      <w:start w:val="0"/>
      <w:numFmt w:val="bullet"/>
      <w:lvlText w:val="•"/>
      <w:lvlJc w:val="left"/>
      <w:pPr>
        <w:ind w:left="1074" w:hanging="382"/>
      </w:pPr>
      <w:rPr>
        <w:rFonts w:hint="default"/>
      </w:rPr>
    </w:lvl>
    <w:lvl w:ilvl="2" w:tentative="0">
      <w:start w:val="0"/>
      <w:numFmt w:val="bullet"/>
      <w:lvlText w:val="•"/>
      <w:lvlJc w:val="left"/>
      <w:pPr>
        <w:ind w:left="1949" w:hanging="382"/>
      </w:pPr>
      <w:rPr>
        <w:rFonts w:hint="default"/>
      </w:rPr>
    </w:lvl>
    <w:lvl w:ilvl="3" w:tentative="0">
      <w:start w:val="0"/>
      <w:numFmt w:val="bullet"/>
      <w:lvlText w:val="•"/>
      <w:lvlJc w:val="left"/>
      <w:pPr>
        <w:ind w:left="2823" w:hanging="382"/>
      </w:pPr>
      <w:rPr>
        <w:rFonts w:hint="default"/>
      </w:rPr>
    </w:lvl>
    <w:lvl w:ilvl="4" w:tentative="0">
      <w:start w:val="0"/>
      <w:numFmt w:val="bullet"/>
      <w:lvlText w:val="•"/>
      <w:lvlJc w:val="left"/>
      <w:pPr>
        <w:ind w:left="3698" w:hanging="382"/>
      </w:pPr>
      <w:rPr>
        <w:rFonts w:hint="default"/>
      </w:rPr>
    </w:lvl>
    <w:lvl w:ilvl="5" w:tentative="0">
      <w:start w:val="0"/>
      <w:numFmt w:val="bullet"/>
      <w:lvlText w:val="•"/>
      <w:lvlJc w:val="left"/>
      <w:pPr>
        <w:ind w:left="4573" w:hanging="382"/>
      </w:pPr>
      <w:rPr>
        <w:rFonts w:hint="default"/>
      </w:rPr>
    </w:lvl>
    <w:lvl w:ilvl="6" w:tentative="0">
      <w:start w:val="0"/>
      <w:numFmt w:val="bullet"/>
      <w:lvlText w:val="•"/>
      <w:lvlJc w:val="left"/>
      <w:pPr>
        <w:ind w:left="5447" w:hanging="382"/>
      </w:pPr>
      <w:rPr>
        <w:rFonts w:hint="default"/>
      </w:rPr>
    </w:lvl>
    <w:lvl w:ilvl="7" w:tentative="0">
      <w:start w:val="0"/>
      <w:numFmt w:val="bullet"/>
      <w:lvlText w:val="•"/>
      <w:lvlJc w:val="left"/>
      <w:pPr>
        <w:ind w:left="6322" w:hanging="382"/>
      </w:pPr>
      <w:rPr>
        <w:rFonts w:hint="default"/>
      </w:rPr>
    </w:lvl>
    <w:lvl w:ilvl="8" w:tentative="0">
      <w:start w:val="0"/>
      <w:numFmt w:val="bullet"/>
      <w:lvlText w:val="•"/>
      <w:lvlJc w:val="left"/>
      <w:pPr>
        <w:ind w:left="7196" w:hanging="382"/>
      </w:pPr>
      <w:rPr>
        <w:rFonts w:hint="default"/>
      </w:rPr>
    </w:lvl>
  </w:abstractNum>
  <w:abstractNum w:abstractNumId="1">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NotTrackMoves/>
  <w:documentProtection w:enforcement="0"/>
  <w:defaultTabStop w:val="425"/>
  <w:doNotHyphenateCaps/>
  <w:drawingGridHorizontalSpacing w:val="0"/>
  <w:drawingGridVerticalSpacing w:val="19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NlN2ZjM2E1NmQ4OGY4MDRkNzFiMmNkOTIwZGE0MmIifQ=="/>
  </w:docVars>
  <w:rsids>
    <w:rsidRoot w:val="00E534D5"/>
    <w:rsid w:val="000001B9"/>
    <w:rsid w:val="00002F17"/>
    <w:rsid w:val="00006330"/>
    <w:rsid w:val="0001091C"/>
    <w:rsid w:val="000238BA"/>
    <w:rsid w:val="00025B67"/>
    <w:rsid w:val="00032F65"/>
    <w:rsid w:val="0004017D"/>
    <w:rsid w:val="000463B8"/>
    <w:rsid w:val="00052D4E"/>
    <w:rsid w:val="00053567"/>
    <w:rsid w:val="00056254"/>
    <w:rsid w:val="00056CEC"/>
    <w:rsid w:val="00060C23"/>
    <w:rsid w:val="00062AD9"/>
    <w:rsid w:val="000635AD"/>
    <w:rsid w:val="00064425"/>
    <w:rsid w:val="000652CC"/>
    <w:rsid w:val="000720A4"/>
    <w:rsid w:val="00072AEC"/>
    <w:rsid w:val="0008029A"/>
    <w:rsid w:val="00082C94"/>
    <w:rsid w:val="000845FD"/>
    <w:rsid w:val="0008696A"/>
    <w:rsid w:val="000928F9"/>
    <w:rsid w:val="000A007E"/>
    <w:rsid w:val="000D0002"/>
    <w:rsid w:val="000E0FBE"/>
    <w:rsid w:val="000F22D1"/>
    <w:rsid w:val="000F30E7"/>
    <w:rsid w:val="001005C9"/>
    <w:rsid w:val="00102ECC"/>
    <w:rsid w:val="00104A46"/>
    <w:rsid w:val="00111408"/>
    <w:rsid w:val="001165B9"/>
    <w:rsid w:val="0014061B"/>
    <w:rsid w:val="00140D84"/>
    <w:rsid w:val="00147B35"/>
    <w:rsid w:val="00151D17"/>
    <w:rsid w:val="0015303E"/>
    <w:rsid w:val="00156C68"/>
    <w:rsid w:val="00157D95"/>
    <w:rsid w:val="00173276"/>
    <w:rsid w:val="0017338C"/>
    <w:rsid w:val="00174A3B"/>
    <w:rsid w:val="00184900"/>
    <w:rsid w:val="00186049"/>
    <w:rsid w:val="00193FC7"/>
    <w:rsid w:val="001A5228"/>
    <w:rsid w:val="001B3370"/>
    <w:rsid w:val="001C7FFB"/>
    <w:rsid w:val="001D1152"/>
    <w:rsid w:val="001E34A4"/>
    <w:rsid w:val="001E3986"/>
    <w:rsid w:val="001F5F74"/>
    <w:rsid w:val="002015CA"/>
    <w:rsid w:val="00216399"/>
    <w:rsid w:val="00220D04"/>
    <w:rsid w:val="0022790E"/>
    <w:rsid w:val="00231228"/>
    <w:rsid w:val="00231D63"/>
    <w:rsid w:val="0023591E"/>
    <w:rsid w:val="00235EDC"/>
    <w:rsid w:val="00236486"/>
    <w:rsid w:val="00236594"/>
    <w:rsid w:val="002368CE"/>
    <w:rsid w:val="0023759A"/>
    <w:rsid w:val="002406F3"/>
    <w:rsid w:val="002410BD"/>
    <w:rsid w:val="002424B1"/>
    <w:rsid w:val="002427FB"/>
    <w:rsid w:val="0025475A"/>
    <w:rsid w:val="00254A20"/>
    <w:rsid w:val="0025711F"/>
    <w:rsid w:val="00273D52"/>
    <w:rsid w:val="002743CE"/>
    <w:rsid w:val="002764A5"/>
    <w:rsid w:val="00277D81"/>
    <w:rsid w:val="00281034"/>
    <w:rsid w:val="002872EA"/>
    <w:rsid w:val="002919C5"/>
    <w:rsid w:val="0029457E"/>
    <w:rsid w:val="00296FBC"/>
    <w:rsid w:val="002A7E5A"/>
    <w:rsid w:val="002B189F"/>
    <w:rsid w:val="002B4FE6"/>
    <w:rsid w:val="002B6F04"/>
    <w:rsid w:val="002C15F1"/>
    <w:rsid w:val="002D645D"/>
    <w:rsid w:val="002E1FF1"/>
    <w:rsid w:val="002F327B"/>
    <w:rsid w:val="002F47C5"/>
    <w:rsid w:val="002F5722"/>
    <w:rsid w:val="00301C74"/>
    <w:rsid w:val="00303246"/>
    <w:rsid w:val="0030343E"/>
    <w:rsid w:val="003056D5"/>
    <w:rsid w:val="003250E6"/>
    <w:rsid w:val="00330FCB"/>
    <w:rsid w:val="00346C5B"/>
    <w:rsid w:val="003519CD"/>
    <w:rsid w:val="00353F0D"/>
    <w:rsid w:val="00356968"/>
    <w:rsid w:val="0036730E"/>
    <w:rsid w:val="00372893"/>
    <w:rsid w:val="00377B00"/>
    <w:rsid w:val="00381EBC"/>
    <w:rsid w:val="00391E6E"/>
    <w:rsid w:val="0039337F"/>
    <w:rsid w:val="00394DF6"/>
    <w:rsid w:val="003957E3"/>
    <w:rsid w:val="003978D7"/>
    <w:rsid w:val="003A34C0"/>
    <w:rsid w:val="003A4698"/>
    <w:rsid w:val="003B021E"/>
    <w:rsid w:val="003B428E"/>
    <w:rsid w:val="003B69A2"/>
    <w:rsid w:val="003C5319"/>
    <w:rsid w:val="003D7406"/>
    <w:rsid w:val="003D7F09"/>
    <w:rsid w:val="003E056C"/>
    <w:rsid w:val="003E127C"/>
    <w:rsid w:val="003E7884"/>
    <w:rsid w:val="003F030E"/>
    <w:rsid w:val="003F0F7A"/>
    <w:rsid w:val="003F2C38"/>
    <w:rsid w:val="003F6EDB"/>
    <w:rsid w:val="003F7F33"/>
    <w:rsid w:val="004047C0"/>
    <w:rsid w:val="00405153"/>
    <w:rsid w:val="0040628C"/>
    <w:rsid w:val="00407BD5"/>
    <w:rsid w:val="0041481E"/>
    <w:rsid w:val="00414AD7"/>
    <w:rsid w:val="00417093"/>
    <w:rsid w:val="00420CC5"/>
    <w:rsid w:val="00452D70"/>
    <w:rsid w:val="00454BE5"/>
    <w:rsid w:val="00455C9F"/>
    <w:rsid w:val="0045745D"/>
    <w:rsid w:val="004615C0"/>
    <w:rsid w:val="0046288F"/>
    <w:rsid w:val="00465684"/>
    <w:rsid w:val="00480109"/>
    <w:rsid w:val="00484F17"/>
    <w:rsid w:val="0048662B"/>
    <w:rsid w:val="0049108F"/>
    <w:rsid w:val="0049272A"/>
    <w:rsid w:val="00493820"/>
    <w:rsid w:val="00494CE2"/>
    <w:rsid w:val="004B49D7"/>
    <w:rsid w:val="004C1930"/>
    <w:rsid w:val="004C2075"/>
    <w:rsid w:val="004C3D44"/>
    <w:rsid w:val="004C5FD1"/>
    <w:rsid w:val="004C6E7E"/>
    <w:rsid w:val="004D298D"/>
    <w:rsid w:val="004D61BE"/>
    <w:rsid w:val="004F2813"/>
    <w:rsid w:val="004F738E"/>
    <w:rsid w:val="00506E5E"/>
    <w:rsid w:val="0052160A"/>
    <w:rsid w:val="0052494D"/>
    <w:rsid w:val="0053388E"/>
    <w:rsid w:val="0053454D"/>
    <w:rsid w:val="00535750"/>
    <w:rsid w:val="00537E77"/>
    <w:rsid w:val="005460A6"/>
    <w:rsid w:val="005467BB"/>
    <w:rsid w:val="00546B6D"/>
    <w:rsid w:val="00547804"/>
    <w:rsid w:val="00552F99"/>
    <w:rsid w:val="00556C9D"/>
    <w:rsid w:val="00562574"/>
    <w:rsid w:val="00562DAC"/>
    <w:rsid w:val="00567EB5"/>
    <w:rsid w:val="0057115B"/>
    <w:rsid w:val="00572C40"/>
    <w:rsid w:val="00576CEC"/>
    <w:rsid w:val="005825D9"/>
    <w:rsid w:val="00587589"/>
    <w:rsid w:val="00587E6C"/>
    <w:rsid w:val="00591278"/>
    <w:rsid w:val="00591C07"/>
    <w:rsid w:val="005A17C2"/>
    <w:rsid w:val="005B57AF"/>
    <w:rsid w:val="005C1385"/>
    <w:rsid w:val="005D3641"/>
    <w:rsid w:val="005E0E2B"/>
    <w:rsid w:val="005F17B1"/>
    <w:rsid w:val="005F7677"/>
    <w:rsid w:val="00600EFD"/>
    <w:rsid w:val="00601124"/>
    <w:rsid w:val="00617452"/>
    <w:rsid w:val="00622A66"/>
    <w:rsid w:val="00625432"/>
    <w:rsid w:val="00626B0D"/>
    <w:rsid w:val="006279D3"/>
    <w:rsid w:val="00632ABF"/>
    <w:rsid w:val="006410F0"/>
    <w:rsid w:val="0066592A"/>
    <w:rsid w:val="006668FF"/>
    <w:rsid w:val="00672EB6"/>
    <w:rsid w:val="00675AB0"/>
    <w:rsid w:val="0068173F"/>
    <w:rsid w:val="00683A2C"/>
    <w:rsid w:val="00687D62"/>
    <w:rsid w:val="006A2DDC"/>
    <w:rsid w:val="006A4101"/>
    <w:rsid w:val="006B493F"/>
    <w:rsid w:val="006B711B"/>
    <w:rsid w:val="006C015D"/>
    <w:rsid w:val="006C58E7"/>
    <w:rsid w:val="006D27FA"/>
    <w:rsid w:val="006D334F"/>
    <w:rsid w:val="006D7059"/>
    <w:rsid w:val="006E0ADC"/>
    <w:rsid w:val="006E5F92"/>
    <w:rsid w:val="006E66B0"/>
    <w:rsid w:val="007007AC"/>
    <w:rsid w:val="00711862"/>
    <w:rsid w:val="0072154D"/>
    <w:rsid w:val="007252D3"/>
    <w:rsid w:val="007324AD"/>
    <w:rsid w:val="007327CE"/>
    <w:rsid w:val="007372BA"/>
    <w:rsid w:val="007375A7"/>
    <w:rsid w:val="00740581"/>
    <w:rsid w:val="007444DD"/>
    <w:rsid w:val="00753C72"/>
    <w:rsid w:val="00760CA9"/>
    <w:rsid w:val="00761B25"/>
    <w:rsid w:val="0076372B"/>
    <w:rsid w:val="00763FE4"/>
    <w:rsid w:val="00767BFB"/>
    <w:rsid w:val="00776A83"/>
    <w:rsid w:val="00785124"/>
    <w:rsid w:val="007A02C4"/>
    <w:rsid w:val="007A0A27"/>
    <w:rsid w:val="007A5E4A"/>
    <w:rsid w:val="007B054B"/>
    <w:rsid w:val="007B4643"/>
    <w:rsid w:val="007C1850"/>
    <w:rsid w:val="007C61B3"/>
    <w:rsid w:val="007D526F"/>
    <w:rsid w:val="007E0AD6"/>
    <w:rsid w:val="007F0E26"/>
    <w:rsid w:val="007F3CDC"/>
    <w:rsid w:val="007F6691"/>
    <w:rsid w:val="008028B8"/>
    <w:rsid w:val="00810B7C"/>
    <w:rsid w:val="008177B0"/>
    <w:rsid w:val="00817B1C"/>
    <w:rsid w:val="00817C50"/>
    <w:rsid w:val="00821B44"/>
    <w:rsid w:val="00826C14"/>
    <w:rsid w:val="00827733"/>
    <w:rsid w:val="008327A3"/>
    <w:rsid w:val="008341DF"/>
    <w:rsid w:val="00835849"/>
    <w:rsid w:val="008447D7"/>
    <w:rsid w:val="0084730E"/>
    <w:rsid w:val="008617B0"/>
    <w:rsid w:val="00866FFB"/>
    <w:rsid w:val="00872AC9"/>
    <w:rsid w:val="00873231"/>
    <w:rsid w:val="0087757A"/>
    <w:rsid w:val="00890CEB"/>
    <w:rsid w:val="008A076F"/>
    <w:rsid w:val="008A1730"/>
    <w:rsid w:val="008A3ACD"/>
    <w:rsid w:val="008A5E8E"/>
    <w:rsid w:val="008B1D4A"/>
    <w:rsid w:val="008B26AB"/>
    <w:rsid w:val="008B4D3E"/>
    <w:rsid w:val="008B7501"/>
    <w:rsid w:val="008B7F0B"/>
    <w:rsid w:val="008D300A"/>
    <w:rsid w:val="008E0E80"/>
    <w:rsid w:val="008E659E"/>
    <w:rsid w:val="008F4EEE"/>
    <w:rsid w:val="009029AD"/>
    <w:rsid w:val="00907DDF"/>
    <w:rsid w:val="0091153B"/>
    <w:rsid w:val="00912B25"/>
    <w:rsid w:val="00915C70"/>
    <w:rsid w:val="00917058"/>
    <w:rsid w:val="00922387"/>
    <w:rsid w:val="00922785"/>
    <w:rsid w:val="0092367E"/>
    <w:rsid w:val="00925865"/>
    <w:rsid w:val="0092760D"/>
    <w:rsid w:val="00931B96"/>
    <w:rsid w:val="009476CB"/>
    <w:rsid w:val="00961A26"/>
    <w:rsid w:val="00963B8D"/>
    <w:rsid w:val="00966152"/>
    <w:rsid w:val="009745DC"/>
    <w:rsid w:val="00985721"/>
    <w:rsid w:val="009A1A7D"/>
    <w:rsid w:val="009B415F"/>
    <w:rsid w:val="009B5D2C"/>
    <w:rsid w:val="009C1F8B"/>
    <w:rsid w:val="009D4151"/>
    <w:rsid w:val="009E79FB"/>
    <w:rsid w:val="009F108F"/>
    <w:rsid w:val="009F1961"/>
    <w:rsid w:val="009F19C2"/>
    <w:rsid w:val="009F4ED7"/>
    <w:rsid w:val="009F5FD9"/>
    <w:rsid w:val="00A1525C"/>
    <w:rsid w:val="00A156B6"/>
    <w:rsid w:val="00A24753"/>
    <w:rsid w:val="00A25F4B"/>
    <w:rsid w:val="00A27EDF"/>
    <w:rsid w:val="00A3316B"/>
    <w:rsid w:val="00A50E8D"/>
    <w:rsid w:val="00A7465C"/>
    <w:rsid w:val="00A761B2"/>
    <w:rsid w:val="00A806E0"/>
    <w:rsid w:val="00A8608C"/>
    <w:rsid w:val="00A92987"/>
    <w:rsid w:val="00A95989"/>
    <w:rsid w:val="00AA0CB0"/>
    <w:rsid w:val="00AA44B5"/>
    <w:rsid w:val="00AA607D"/>
    <w:rsid w:val="00AA6F9E"/>
    <w:rsid w:val="00AB0E54"/>
    <w:rsid w:val="00AB516B"/>
    <w:rsid w:val="00AB53DC"/>
    <w:rsid w:val="00AC2A34"/>
    <w:rsid w:val="00AC6E8F"/>
    <w:rsid w:val="00AD4508"/>
    <w:rsid w:val="00AE3E5A"/>
    <w:rsid w:val="00AE5F3A"/>
    <w:rsid w:val="00AF1F5C"/>
    <w:rsid w:val="00AF337A"/>
    <w:rsid w:val="00AF502A"/>
    <w:rsid w:val="00B02BBF"/>
    <w:rsid w:val="00B03334"/>
    <w:rsid w:val="00B11F57"/>
    <w:rsid w:val="00B15FC4"/>
    <w:rsid w:val="00B248BC"/>
    <w:rsid w:val="00B32E4D"/>
    <w:rsid w:val="00B3526E"/>
    <w:rsid w:val="00B35945"/>
    <w:rsid w:val="00B46C3D"/>
    <w:rsid w:val="00B476B8"/>
    <w:rsid w:val="00B55480"/>
    <w:rsid w:val="00B65035"/>
    <w:rsid w:val="00B73455"/>
    <w:rsid w:val="00B81904"/>
    <w:rsid w:val="00B81FD8"/>
    <w:rsid w:val="00B85A7D"/>
    <w:rsid w:val="00B85D49"/>
    <w:rsid w:val="00B97943"/>
    <w:rsid w:val="00BA50D5"/>
    <w:rsid w:val="00BA60AC"/>
    <w:rsid w:val="00BA7566"/>
    <w:rsid w:val="00BB093F"/>
    <w:rsid w:val="00BB6C9E"/>
    <w:rsid w:val="00BB709F"/>
    <w:rsid w:val="00BC072C"/>
    <w:rsid w:val="00BC2A9E"/>
    <w:rsid w:val="00BC6392"/>
    <w:rsid w:val="00BC7AC2"/>
    <w:rsid w:val="00BE011E"/>
    <w:rsid w:val="00BE2AF5"/>
    <w:rsid w:val="00BE7DC6"/>
    <w:rsid w:val="00C022D4"/>
    <w:rsid w:val="00C04031"/>
    <w:rsid w:val="00C14558"/>
    <w:rsid w:val="00C14D2C"/>
    <w:rsid w:val="00C16D53"/>
    <w:rsid w:val="00C24D0D"/>
    <w:rsid w:val="00C24D11"/>
    <w:rsid w:val="00C26F26"/>
    <w:rsid w:val="00C37A10"/>
    <w:rsid w:val="00C403CE"/>
    <w:rsid w:val="00C4648B"/>
    <w:rsid w:val="00C47B59"/>
    <w:rsid w:val="00C51504"/>
    <w:rsid w:val="00C5581B"/>
    <w:rsid w:val="00C606C2"/>
    <w:rsid w:val="00C60A00"/>
    <w:rsid w:val="00C63C8D"/>
    <w:rsid w:val="00C67AE4"/>
    <w:rsid w:val="00C67B3D"/>
    <w:rsid w:val="00C97730"/>
    <w:rsid w:val="00C97B03"/>
    <w:rsid w:val="00CA2A9D"/>
    <w:rsid w:val="00CB1467"/>
    <w:rsid w:val="00CC0727"/>
    <w:rsid w:val="00CC2CDB"/>
    <w:rsid w:val="00CD116B"/>
    <w:rsid w:val="00CD1692"/>
    <w:rsid w:val="00CD6E08"/>
    <w:rsid w:val="00CE2303"/>
    <w:rsid w:val="00CF2616"/>
    <w:rsid w:val="00CF2ED9"/>
    <w:rsid w:val="00CF5C22"/>
    <w:rsid w:val="00D12A51"/>
    <w:rsid w:val="00D44107"/>
    <w:rsid w:val="00D46ECE"/>
    <w:rsid w:val="00D55115"/>
    <w:rsid w:val="00D67535"/>
    <w:rsid w:val="00D67F75"/>
    <w:rsid w:val="00D729D3"/>
    <w:rsid w:val="00D7483C"/>
    <w:rsid w:val="00D95445"/>
    <w:rsid w:val="00D95B6D"/>
    <w:rsid w:val="00DA59DC"/>
    <w:rsid w:val="00DB5FD4"/>
    <w:rsid w:val="00DC34A3"/>
    <w:rsid w:val="00DC4C40"/>
    <w:rsid w:val="00DC6188"/>
    <w:rsid w:val="00DD7701"/>
    <w:rsid w:val="00DE0B2C"/>
    <w:rsid w:val="00DE1752"/>
    <w:rsid w:val="00DE4A5C"/>
    <w:rsid w:val="00DE5D87"/>
    <w:rsid w:val="00DE7894"/>
    <w:rsid w:val="00E01851"/>
    <w:rsid w:val="00E020B7"/>
    <w:rsid w:val="00E03AE6"/>
    <w:rsid w:val="00E04CF4"/>
    <w:rsid w:val="00E074A2"/>
    <w:rsid w:val="00E07E71"/>
    <w:rsid w:val="00E1664D"/>
    <w:rsid w:val="00E24C15"/>
    <w:rsid w:val="00E36CCB"/>
    <w:rsid w:val="00E405B2"/>
    <w:rsid w:val="00E43161"/>
    <w:rsid w:val="00E46299"/>
    <w:rsid w:val="00E4635A"/>
    <w:rsid w:val="00E46BB1"/>
    <w:rsid w:val="00E534D5"/>
    <w:rsid w:val="00E57122"/>
    <w:rsid w:val="00E6166E"/>
    <w:rsid w:val="00E63804"/>
    <w:rsid w:val="00E6549A"/>
    <w:rsid w:val="00E72C7D"/>
    <w:rsid w:val="00E90101"/>
    <w:rsid w:val="00E94386"/>
    <w:rsid w:val="00E96B06"/>
    <w:rsid w:val="00EA1DAF"/>
    <w:rsid w:val="00EE0FAE"/>
    <w:rsid w:val="00EE73DF"/>
    <w:rsid w:val="00EF42F3"/>
    <w:rsid w:val="00F00BBC"/>
    <w:rsid w:val="00F01764"/>
    <w:rsid w:val="00F02484"/>
    <w:rsid w:val="00F106B5"/>
    <w:rsid w:val="00F124FB"/>
    <w:rsid w:val="00F16C49"/>
    <w:rsid w:val="00F17488"/>
    <w:rsid w:val="00F208F8"/>
    <w:rsid w:val="00F26DFD"/>
    <w:rsid w:val="00F27746"/>
    <w:rsid w:val="00F34C85"/>
    <w:rsid w:val="00F360CA"/>
    <w:rsid w:val="00F360F7"/>
    <w:rsid w:val="00F4574E"/>
    <w:rsid w:val="00F47172"/>
    <w:rsid w:val="00F500C3"/>
    <w:rsid w:val="00F611E3"/>
    <w:rsid w:val="00F64B88"/>
    <w:rsid w:val="00F663B7"/>
    <w:rsid w:val="00F742DF"/>
    <w:rsid w:val="00F746C3"/>
    <w:rsid w:val="00F80033"/>
    <w:rsid w:val="00F80A4A"/>
    <w:rsid w:val="00F876BF"/>
    <w:rsid w:val="00F87A93"/>
    <w:rsid w:val="00F90018"/>
    <w:rsid w:val="00FA1677"/>
    <w:rsid w:val="00FA30D4"/>
    <w:rsid w:val="00FA3365"/>
    <w:rsid w:val="00FA33E3"/>
    <w:rsid w:val="00FB53F9"/>
    <w:rsid w:val="00FD23EF"/>
    <w:rsid w:val="00FD7C15"/>
    <w:rsid w:val="00FE3EA0"/>
    <w:rsid w:val="00FF0214"/>
    <w:rsid w:val="014C17CD"/>
    <w:rsid w:val="0170074F"/>
    <w:rsid w:val="017824C2"/>
    <w:rsid w:val="01AE4AA9"/>
    <w:rsid w:val="01D25B5B"/>
    <w:rsid w:val="01EB2B77"/>
    <w:rsid w:val="02895549"/>
    <w:rsid w:val="031134D7"/>
    <w:rsid w:val="03331A50"/>
    <w:rsid w:val="03AC51E9"/>
    <w:rsid w:val="03EB3FD6"/>
    <w:rsid w:val="0405420F"/>
    <w:rsid w:val="048E529C"/>
    <w:rsid w:val="049923C7"/>
    <w:rsid w:val="04B9743D"/>
    <w:rsid w:val="04E04BB5"/>
    <w:rsid w:val="05053370"/>
    <w:rsid w:val="05263E39"/>
    <w:rsid w:val="057163F7"/>
    <w:rsid w:val="05DF3722"/>
    <w:rsid w:val="060B2BAA"/>
    <w:rsid w:val="06E64BEE"/>
    <w:rsid w:val="071D5B5B"/>
    <w:rsid w:val="07751AAB"/>
    <w:rsid w:val="08286495"/>
    <w:rsid w:val="08961683"/>
    <w:rsid w:val="08FD0FA4"/>
    <w:rsid w:val="0AC260D6"/>
    <w:rsid w:val="0B2027CC"/>
    <w:rsid w:val="0B6F5760"/>
    <w:rsid w:val="0B9F492D"/>
    <w:rsid w:val="0BBD701C"/>
    <w:rsid w:val="0C877480"/>
    <w:rsid w:val="0C8F61BA"/>
    <w:rsid w:val="0C8F7FBB"/>
    <w:rsid w:val="0CB85C3D"/>
    <w:rsid w:val="0D2F6453"/>
    <w:rsid w:val="0DE932EF"/>
    <w:rsid w:val="0DF76096"/>
    <w:rsid w:val="0EF363A3"/>
    <w:rsid w:val="0F2C64BB"/>
    <w:rsid w:val="0FCD3B80"/>
    <w:rsid w:val="0FE11F6D"/>
    <w:rsid w:val="10637478"/>
    <w:rsid w:val="10803EE5"/>
    <w:rsid w:val="11375E07"/>
    <w:rsid w:val="118D2AB9"/>
    <w:rsid w:val="12077907"/>
    <w:rsid w:val="120B79FB"/>
    <w:rsid w:val="12D0114A"/>
    <w:rsid w:val="13065281"/>
    <w:rsid w:val="13860218"/>
    <w:rsid w:val="13CB5364"/>
    <w:rsid w:val="14D50269"/>
    <w:rsid w:val="151E1E58"/>
    <w:rsid w:val="15845F89"/>
    <w:rsid w:val="159B7FE9"/>
    <w:rsid w:val="16422F19"/>
    <w:rsid w:val="16780311"/>
    <w:rsid w:val="168D3B61"/>
    <w:rsid w:val="17DC3EEA"/>
    <w:rsid w:val="187F5C52"/>
    <w:rsid w:val="18B22BC0"/>
    <w:rsid w:val="18B71D2B"/>
    <w:rsid w:val="18C33505"/>
    <w:rsid w:val="18E91820"/>
    <w:rsid w:val="192115E6"/>
    <w:rsid w:val="19624059"/>
    <w:rsid w:val="1AD37034"/>
    <w:rsid w:val="1ADF3B56"/>
    <w:rsid w:val="1B0E437B"/>
    <w:rsid w:val="1BF26FF6"/>
    <w:rsid w:val="1C4B444F"/>
    <w:rsid w:val="1C677396"/>
    <w:rsid w:val="1CF02DAE"/>
    <w:rsid w:val="1D881635"/>
    <w:rsid w:val="1DF37B05"/>
    <w:rsid w:val="1E913B48"/>
    <w:rsid w:val="1EF3573A"/>
    <w:rsid w:val="1F2F6639"/>
    <w:rsid w:val="1F36444C"/>
    <w:rsid w:val="1F3C5CAC"/>
    <w:rsid w:val="1F664288"/>
    <w:rsid w:val="1F707581"/>
    <w:rsid w:val="1FD63258"/>
    <w:rsid w:val="1FDD68B4"/>
    <w:rsid w:val="200221E5"/>
    <w:rsid w:val="20500E2D"/>
    <w:rsid w:val="20B25D98"/>
    <w:rsid w:val="20D772CD"/>
    <w:rsid w:val="21142FBC"/>
    <w:rsid w:val="22B72C03"/>
    <w:rsid w:val="22CC21EE"/>
    <w:rsid w:val="22EA62D5"/>
    <w:rsid w:val="23AB3F03"/>
    <w:rsid w:val="23CD5F98"/>
    <w:rsid w:val="24681C0E"/>
    <w:rsid w:val="248C50E9"/>
    <w:rsid w:val="258F0A8E"/>
    <w:rsid w:val="25B10E43"/>
    <w:rsid w:val="25CA52AA"/>
    <w:rsid w:val="25E66A6F"/>
    <w:rsid w:val="25EF2AA0"/>
    <w:rsid w:val="2632419F"/>
    <w:rsid w:val="265926DC"/>
    <w:rsid w:val="273405D2"/>
    <w:rsid w:val="273A08D4"/>
    <w:rsid w:val="27424D64"/>
    <w:rsid w:val="27781BD7"/>
    <w:rsid w:val="279D33B3"/>
    <w:rsid w:val="28176E69"/>
    <w:rsid w:val="2836195E"/>
    <w:rsid w:val="28B716D5"/>
    <w:rsid w:val="28DA4BE1"/>
    <w:rsid w:val="28F6622A"/>
    <w:rsid w:val="29242236"/>
    <w:rsid w:val="2958399F"/>
    <w:rsid w:val="297E7661"/>
    <w:rsid w:val="297F5817"/>
    <w:rsid w:val="29D4215C"/>
    <w:rsid w:val="29FA71DD"/>
    <w:rsid w:val="2A426685"/>
    <w:rsid w:val="2A87283A"/>
    <w:rsid w:val="2B8047C6"/>
    <w:rsid w:val="2BDC049A"/>
    <w:rsid w:val="2CB01729"/>
    <w:rsid w:val="2DB03BAE"/>
    <w:rsid w:val="2DF62E23"/>
    <w:rsid w:val="2E0B01BD"/>
    <w:rsid w:val="2E2E78E1"/>
    <w:rsid w:val="2E3369ED"/>
    <w:rsid w:val="2E513BF2"/>
    <w:rsid w:val="2E874654"/>
    <w:rsid w:val="2EB2532D"/>
    <w:rsid w:val="2EBC31ED"/>
    <w:rsid w:val="2EDE23D6"/>
    <w:rsid w:val="2F234B17"/>
    <w:rsid w:val="2F5076F4"/>
    <w:rsid w:val="2F6468C7"/>
    <w:rsid w:val="2FAA31FC"/>
    <w:rsid w:val="2FAD0853"/>
    <w:rsid w:val="2FD074BA"/>
    <w:rsid w:val="30275C6A"/>
    <w:rsid w:val="315963D1"/>
    <w:rsid w:val="31736431"/>
    <w:rsid w:val="31934657"/>
    <w:rsid w:val="321D61E5"/>
    <w:rsid w:val="32372EFA"/>
    <w:rsid w:val="32455E4E"/>
    <w:rsid w:val="32572F5B"/>
    <w:rsid w:val="329A1D2C"/>
    <w:rsid w:val="32D45B36"/>
    <w:rsid w:val="32FD7677"/>
    <w:rsid w:val="33127178"/>
    <w:rsid w:val="331A56DD"/>
    <w:rsid w:val="336720A8"/>
    <w:rsid w:val="33D91714"/>
    <w:rsid w:val="341237DB"/>
    <w:rsid w:val="34657B39"/>
    <w:rsid w:val="34957EEE"/>
    <w:rsid w:val="34A55568"/>
    <w:rsid w:val="34AF5E17"/>
    <w:rsid w:val="34CF5963"/>
    <w:rsid w:val="34F64016"/>
    <w:rsid w:val="3535612A"/>
    <w:rsid w:val="358A0398"/>
    <w:rsid w:val="35B11A3B"/>
    <w:rsid w:val="361F44DF"/>
    <w:rsid w:val="3631685A"/>
    <w:rsid w:val="364B0F1E"/>
    <w:rsid w:val="36877F67"/>
    <w:rsid w:val="36B02B65"/>
    <w:rsid w:val="373731E1"/>
    <w:rsid w:val="38593F9B"/>
    <w:rsid w:val="387A2F42"/>
    <w:rsid w:val="38B95A2F"/>
    <w:rsid w:val="3965558B"/>
    <w:rsid w:val="39CD5344"/>
    <w:rsid w:val="39E87D58"/>
    <w:rsid w:val="3A0A361C"/>
    <w:rsid w:val="3A35789E"/>
    <w:rsid w:val="3A434F59"/>
    <w:rsid w:val="3A5A0946"/>
    <w:rsid w:val="3A7B7EC9"/>
    <w:rsid w:val="3AA64614"/>
    <w:rsid w:val="3B12490C"/>
    <w:rsid w:val="3B872EBA"/>
    <w:rsid w:val="3BA65134"/>
    <w:rsid w:val="3BF53825"/>
    <w:rsid w:val="3C4B7528"/>
    <w:rsid w:val="3D2F74A4"/>
    <w:rsid w:val="3D7F7301"/>
    <w:rsid w:val="3D821079"/>
    <w:rsid w:val="3E202CA6"/>
    <w:rsid w:val="3E2A74B3"/>
    <w:rsid w:val="3EC26C70"/>
    <w:rsid w:val="3EF95BE6"/>
    <w:rsid w:val="3F2A5FDF"/>
    <w:rsid w:val="3F5F2BDD"/>
    <w:rsid w:val="3FAB77DD"/>
    <w:rsid w:val="3FAD3D79"/>
    <w:rsid w:val="3FDA7B2E"/>
    <w:rsid w:val="410133F7"/>
    <w:rsid w:val="417171F1"/>
    <w:rsid w:val="41B90D0A"/>
    <w:rsid w:val="422A7F9A"/>
    <w:rsid w:val="42444C5D"/>
    <w:rsid w:val="425A052B"/>
    <w:rsid w:val="42695A95"/>
    <w:rsid w:val="42BA533C"/>
    <w:rsid w:val="42D31A32"/>
    <w:rsid w:val="43216E71"/>
    <w:rsid w:val="433F148B"/>
    <w:rsid w:val="43727AE4"/>
    <w:rsid w:val="43F72211"/>
    <w:rsid w:val="442109C6"/>
    <w:rsid w:val="4447113F"/>
    <w:rsid w:val="44634F7B"/>
    <w:rsid w:val="455333FC"/>
    <w:rsid w:val="45676EB6"/>
    <w:rsid w:val="45CF29FF"/>
    <w:rsid w:val="45D25287"/>
    <w:rsid w:val="461E16C5"/>
    <w:rsid w:val="46376BEF"/>
    <w:rsid w:val="46535B0E"/>
    <w:rsid w:val="46540A65"/>
    <w:rsid w:val="46766A69"/>
    <w:rsid w:val="467C0503"/>
    <w:rsid w:val="468A0E50"/>
    <w:rsid w:val="474447C2"/>
    <w:rsid w:val="475435F5"/>
    <w:rsid w:val="47C25C9D"/>
    <w:rsid w:val="47D33532"/>
    <w:rsid w:val="481740C9"/>
    <w:rsid w:val="485D7895"/>
    <w:rsid w:val="48A46645"/>
    <w:rsid w:val="48A502C3"/>
    <w:rsid w:val="49350130"/>
    <w:rsid w:val="49AA0DA1"/>
    <w:rsid w:val="49FF6F2C"/>
    <w:rsid w:val="4A271E5D"/>
    <w:rsid w:val="4ABC2B99"/>
    <w:rsid w:val="4AD45AE0"/>
    <w:rsid w:val="4AD473FF"/>
    <w:rsid w:val="4B454709"/>
    <w:rsid w:val="4B506466"/>
    <w:rsid w:val="4B7D670C"/>
    <w:rsid w:val="4B8629C5"/>
    <w:rsid w:val="4B9567B3"/>
    <w:rsid w:val="4BC24048"/>
    <w:rsid w:val="4BDE7848"/>
    <w:rsid w:val="4C4E081A"/>
    <w:rsid w:val="4C641C30"/>
    <w:rsid w:val="4D360773"/>
    <w:rsid w:val="4D696847"/>
    <w:rsid w:val="4DBF7491"/>
    <w:rsid w:val="4DC65A32"/>
    <w:rsid w:val="4DCE1FB4"/>
    <w:rsid w:val="4E6A4F80"/>
    <w:rsid w:val="4EA00F20"/>
    <w:rsid w:val="4EF53BDD"/>
    <w:rsid w:val="4EF558DD"/>
    <w:rsid w:val="4F0513A3"/>
    <w:rsid w:val="4F303729"/>
    <w:rsid w:val="4F725961"/>
    <w:rsid w:val="4F8A719D"/>
    <w:rsid w:val="4F8B06D0"/>
    <w:rsid w:val="4FD96FEB"/>
    <w:rsid w:val="4FDA48A7"/>
    <w:rsid w:val="502138B5"/>
    <w:rsid w:val="503025A4"/>
    <w:rsid w:val="50E14B0C"/>
    <w:rsid w:val="51621FD1"/>
    <w:rsid w:val="517D375A"/>
    <w:rsid w:val="51BA3852"/>
    <w:rsid w:val="51C847A7"/>
    <w:rsid w:val="51EC5105"/>
    <w:rsid w:val="527868FB"/>
    <w:rsid w:val="528152C4"/>
    <w:rsid w:val="53192936"/>
    <w:rsid w:val="531A7361"/>
    <w:rsid w:val="531E71EE"/>
    <w:rsid w:val="535D7CF3"/>
    <w:rsid w:val="539E0E3F"/>
    <w:rsid w:val="54744D97"/>
    <w:rsid w:val="549C3DB7"/>
    <w:rsid w:val="55697FF0"/>
    <w:rsid w:val="558B60D3"/>
    <w:rsid w:val="56576CF8"/>
    <w:rsid w:val="57DF6240"/>
    <w:rsid w:val="58344CD6"/>
    <w:rsid w:val="586A277A"/>
    <w:rsid w:val="588A65EB"/>
    <w:rsid w:val="58C51E7B"/>
    <w:rsid w:val="58C53D5C"/>
    <w:rsid w:val="5937711B"/>
    <w:rsid w:val="593F52D1"/>
    <w:rsid w:val="594158C9"/>
    <w:rsid w:val="594A372F"/>
    <w:rsid w:val="59570EC7"/>
    <w:rsid w:val="59B14DA6"/>
    <w:rsid w:val="59F32FF4"/>
    <w:rsid w:val="5A344B51"/>
    <w:rsid w:val="5A5A057B"/>
    <w:rsid w:val="5A741770"/>
    <w:rsid w:val="5A754D50"/>
    <w:rsid w:val="5A882A09"/>
    <w:rsid w:val="5B6055D5"/>
    <w:rsid w:val="5B954765"/>
    <w:rsid w:val="5C065F1F"/>
    <w:rsid w:val="5CA21881"/>
    <w:rsid w:val="5D034D02"/>
    <w:rsid w:val="5D301DD4"/>
    <w:rsid w:val="5D335DB6"/>
    <w:rsid w:val="5D3426BB"/>
    <w:rsid w:val="5E0B4055"/>
    <w:rsid w:val="5E3C356B"/>
    <w:rsid w:val="5F0351E7"/>
    <w:rsid w:val="5F9642C2"/>
    <w:rsid w:val="5FA53869"/>
    <w:rsid w:val="5FB13398"/>
    <w:rsid w:val="5FF50576"/>
    <w:rsid w:val="6029563C"/>
    <w:rsid w:val="60A20ADA"/>
    <w:rsid w:val="60D54D99"/>
    <w:rsid w:val="61510322"/>
    <w:rsid w:val="618F5845"/>
    <w:rsid w:val="623F5190"/>
    <w:rsid w:val="62443CF0"/>
    <w:rsid w:val="62832EAC"/>
    <w:rsid w:val="631F539C"/>
    <w:rsid w:val="636A36E7"/>
    <w:rsid w:val="6392203B"/>
    <w:rsid w:val="63B243A4"/>
    <w:rsid w:val="641F517D"/>
    <w:rsid w:val="6443100A"/>
    <w:rsid w:val="64590041"/>
    <w:rsid w:val="64971A9B"/>
    <w:rsid w:val="650136CD"/>
    <w:rsid w:val="65127210"/>
    <w:rsid w:val="651D2857"/>
    <w:rsid w:val="6555446F"/>
    <w:rsid w:val="65670EFF"/>
    <w:rsid w:val="65830D66"/>
    <w:rsid w:val="65896F81"/>
    <w:rsid w:val="65E5495C"/>
    <w:rsid w:val="66A73043"/>
    <w:rsid w:val="67527769"/>
    <w:rsid w:val="67594859"/>
    <w:rsid w:val="675D2D1E"/>
    <w:rsid w:val="67C85792"/>
    <w:rsid w:val="67DF397A"/>
    <w:rsid w:val="68055D99"/>
    <w:rsid w:val="689C5987"/>
    <w:rsid w:val="68B346CD"/>
    <w:rsid w:val="6924336A"/>
    <w:rsid w:val="69FE6203"/>
    <w:rsid w:val="6ADF35CB"/>
    <w:rsid w:val="6AE86D4E"/>
    <w:rsid w:val="6B183F2A"/>
    <w:rsid w:val="6B4E374A"/>
    <w:rsid w:val="6B64314B"/>
    <w:rsid w:val="6B7919BE"/>
    <w:rsid w:val="6B82068F"/>
    <w:rsid w:val="6B9672FF"/>
    <w:rsid w:val="6BDC5A8E"/>
    <w:rsid w:val="6C226F88"/>
    <w:rsid w:val="6C5C7146"/>
    <w:rsid w:val="6CD047AC"/>
    <w:rsid w:val="6DA06427"/>
    <w:rsid w:val="6E566319"/>
    <w:rsid w:val="6E9D1116"/>
    <w:rsid w:val="6EA36847"/>
    <w:rsid w:val="6F3C70FB"/>
    <w:rsid w:val="6F444F49"/>
    <w:rsid w:val="6FD5359F"/>
    <w:rsid w:val="706D6BD9"/>
    <w:rsid w:val="70AD5C75"/>
    <w:rsid w:val="70C270F1"/>
    <w:rsid w:val="70CE2B14"/>
    <w:rsid w:val="714230BF"/>
    <w:rsid w:val="724325CC"/>
    <w:rsid w:val="72713E6C"/>
    <w:rsid w:val="72B117A6"/>
    <w:rsid w:val="72C922E5"/>
    <w:rsid w:val="73522E54"/>
    <w:rsid w:val="73742BD5"/>
    <w:rsid w:val="7396000F"/>
    <w:rsid w:val="73975040"/>
    <w:rsid w:val="740235C5"/>
    <w:rsid w:val="7470752F"/>
    <w:rsid w:val="74A91041"/>
    <w:rsid w:val="74F1780C"/>
    <w:rsid w:val="74F8722E"/>
    <w:rsid w:val="75772595"/>
    <w:rsid w:val="763063CA"/>
    <w:rsid w:val="76422CDA"/>
    <w:rsid w:val="76490A34"/>
    <w:rsid w:val="767E4F66"/>
    <w:rsid w:val="76EE56FE"/>
    <w:rsid w:val="77237704"/>
    <w:rsid w:val="77305867"/>
    <w:rsid w:val="773362C8"/>
    <w:rsid w:val="77614F64"/>
    <w:rsid w:val="77EB4C70"/>
    <w:rsid w:val="788F035B"/>
    <w:rsid w:val="78C05A1B"/>
    <w:rsid w:val="78C5575B"/>
    <w:rsid w:val="78C92E9E"/>
    <w:rsid w:val="79440647"/>
    <w:rsid w:val="79701BFA"/>
    <w:rsid w:val="7A101E31"/>
    <w:rsid w:val="7A9336EA"/>
    <w:rsid w:val="7AA06345"/>
    <w:rsid w:val="7AB061B1"/>
    <w:rsid w:val="7B172461"/>
    <w:rsid w:val="7B9F4E03"/>
    <w:rsid w:val="7BC65C11"/>
    <w:rsid w:val="7C3D00A9"/>
    <w:rsid w:val="7C720BA6"/>
    <w:rsid w:val="7C953BE7"/>
    <w:rsid w:val="7D0A5D47"/>
    <w:rsid w:val="7D1831EB"/>
    <w:rsid w:val="7DB85BF4"/>
    <w:rsid w:val="7DEF207F"/>
    <w:rsid w:val="7E0672CB"/>
    <w:rsid w:val="7E0C2CF8"/>
    <w:rsid w:val="7E986579"/>
    <w:rsid w:val="7E9B2391"/>
    <w:rsid w:val="7EA60DAF"/>
    <w:rsid w:val="7EF02711"/>
    <w:rsid w:val="7F72408A"/>
    <w:rsid w:val="7FAB214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ocked="1"/>
    <w:lsdException w:qFormat="1" w:unhideWhenUsed="0" w:uiPriority="99" w:name="table of figures"/>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nhideWhenUsed="0" w:uiPriority="0" w:semiHidden="0" w:name="table of authorities"/>
    <w:lsdException w:uiPriority="99" w:name="macro" w:locked="1"/>
    <w:lsdException w:uiPriority="99" w:name="toa heading" w:locked="1"/>
    <w:lsdException w:unhideWhenUsed="0" w:uiPriority="0" w:semiHidden="0" w:name="List"/>
    <w:lsdException w:unhideWhenUsed="0" w:uiPriority="0" w:semiHidden="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0" w:semiHidden="0" w:name="Normal (Web)" w:locked="1"/>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qFormat="1"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szCs w:val="26"/>
      <w:lang w:val="en-US" w:eastAsia="zh-CN" w:bidi="ar-SA"/>
    </w:rPr>
  </w:style>
  <w:style w:type="paragraph" w:styleId="4">
    <w:name w:val="heading 1"/>
    <w:basedOn w:val="1"/>
    <w:next w:val="1"/>
    <w:link w:val="66"/>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67"/>
    <w:qFormat/>
    <w:uiPriority w:val="99"/>
    <w:pPr>
      <w:keepNext/>
      <w:keepLines/>
      <w:overflowPunct w:val="0"/>
      <w:adjustRightInd w:val="0"/>
      <w:jc w:val="left"/>
      <w:textAlignment w:val="baseline"/>
      <w:outlineLvl w:val="1"/>
    </w:pPr>
    <w:rPr>
      <w:rFonts w:ascii="宋体" w:hAnsi="宋体" w:cs="宋体"/>
      <w:b/>
      <w:bCs/>
    </w:rPr>
  </w:style>
  <w:style w:type="paragraph" w:styleId="6">
    <w:name w:val="heading 3"/>
    <w:basedOn w:val="1"/>
    <w:next w:val="1"/>
    <w:link w:val="68"/>
    <w:qFormat/>
    <w:uiPriority w:val="99"/>
    <w:pPr>
      <w:keepNext/>
      <w:keepLines/>
      <w:adjustRightInd w:val="0"/>
      <w:jc w:val="left"/>
      <w:textAlignment w:val="baseline"/>
      <w:outlineLvl w:val="2"/>
    </w:pPr>
    <w:rPr>
      <w:b/>
      <w:bCs/>
    </w:rPr>
  </w:style>
  <w:style w:type="paragraph" w:styleId="7">
    <w:name w:val="heading 4"/>
    <w:basedOn w:val="1"/>
    <w:next w:val="1"/>
    <w:link w:val="69"/>
    <w:qFormat/>
    <w:uiPriority w:val="99"/>
    <w:pPr>
      <w:keepNext/>
      <w:keepLines/>
      <w:adjustRightInd w:val="0"/>
      <w:spacing w:line="376" w:lineRule="atLeast"/>
      <w:textAlignment w:val="baseline"/>
      <w:outlineLvl w:val="3"/>
    </w:pPr>
    <w:rPr>
      <w:rFonts w:ascii="Arial" w:hAnsi="Arial" w:eastAsia="黑体" w:cs="Arial"/>
      <w:b/>
      <w:bCs/>
      <w:sz w:val="28"/>
      <w:szCs w:val="28"/>
    </w:rPr>
  </w:style>
  <w:style w:type="paragraph" w:styleId="8">
    <w:name w:val="heading 5"/>
    <w:basedOn w:val="1"/>
    <w:next w:val="9"/>
    <w:link w:val="70"/>
    <w:qFormat/>
    <w:uiPriority w:val="99"/>
    <w:pPr>
      <w:keepNext/>
      <w:keepLines/>
      <w:numPr>
        <w:ilvl w:val="4"/>
        <w:numId w:val="1"/>
      </w:numPr>
      <w:spacing w:before="280" w:after="290" w:line="376" w:lineRule="auto"/>
      <w:outlineLvl w:val="4"/>
    </w:pPr>
    <w:rPr>
      <w:rFonts w:ascii="宋体" w:eastAsia="宋体" w:cs="宋体"/>
      <w:b/>
      <w:bCs/>
      <w:spacing w:val="-2"/>
      <w:position w:val="-6"/>
      <w:sz w:val="28"/>
      <w:szCs w:val="28"/>
    </w:rPr>
  </w:style>
  <w:style w:type="paragraph" w:styleId="10">
    <w:name w:val="heading 6"/>
    <w:basedOn w:val="1"/>
    <w:next w:val="9"/>
    <w:link w:val="71"/>
    <w:qFormat/>
    <w:uiPriority w:val="99"/>
    <w:pPr>
      <w:keepNext/>
      <w:keepLines/>
      <w:numPr>
        <w:ilvl w:val="5"/>
        <w:numId w:val="1"/>
      </w:numPr>
      <w:spacing w:before="240" w:after="64" w:line="320" w:lineRule="auto"/>
      <w:outlineLvl w:val="5"/>
    </w:pPr>
    <w:rPr>
      <w:rFonts w:ascii="Arial" w:hAnsi="Arial" w:eastAsia="黑体" w:cs="Arial"/>
      <w:b/>
      <w:bCs/>
      <w:spacing w:val="-2"/>
      <w:position w:val="-6"/>
      <w:sz w:val="24"/>
      <w:szCs w:val="24"/>
    </w:rPr>
  </w:style>
  <w:style w:type="paragraph" w:styleId="11">
    <w:name w:val="heading 7"/>
    <w:basedOn w:val="1"/>
    <w:next w:val="9"/>
    <w:link w:val="72"/>
    <w:qFormat/>
    <w:uiPriority w:val="99"/>
    <w:pPr>
      <w:keepNext/>
      <w:keepLines/>
      <w:numPr>
        <w:ilvl w:val="6"/>
        <w:numId w:val="1"/>
      </w:numPr>
      <w:spacing w:before="240" w:after="64" w:line="320" w:lineRule="auto"/>
      <w:outlineLvl w:val="6"/>
    </w:pPr>
    <w:rPr>
      <w:rFonts w:ascii="宋体" w:eastAsia="宋体" w:cs="宋体"/>
      <w:b/>
      <w:bCs/>
      <w:spacing w:val="-2"/>
      <w:position w:val="-6"/>
      <w:sz w:val="24"/>
      <w:szCs w:val="24"/>
    </w:rPr>
  </w:style>
  <w:style w:type="paragraph" w:styleId="12">
    <w:name w:val="heading 8"/>
    <w:basedOn w:val="1"/>
    <w:next w:val="9"/>
    <w:link w:val="73"/>
    <w:qFormat/>
    <w:uiPriority w:val="99"/>
    <w:pPr>
      <w:keepNext/>
      <w:keepLines/>
      <w:numPr>
        <w:ilvl w:val="7"/>
        <w:numId w:val="1"/>
      </w:numPr>
      <w:spacing w:before="240" w:after="64" w:line="320" w:lineRule="auto"/>
      <w:outlineLvl w:val="7"/>
    </w:pPr>
    <w:rPr>
      <w:rFonts w:ascii="Arial" w:hAnsi="Arial" w:eastAsia="黑体" w:cs="Arial"/>
      <w:spacing w:val="-2"/>
      <w:position w:val="-6"/>
      <w:sz w:val="24"/>
      <w:szCs w:val="24"/>
    </w:rPr>
  </w:style>
  <w:style w:type="paragraph" w:styleId="13">
    <w:name w:val="heading 9"/>
    <w:basedOn w:val="1"/>
    <w:next w:val="9"/>
    <w:link w:val="74"/>
    <w:qFormat/>
    <w:uiPriority w:val="99"/>
    <w:pPr>
      <w:keepNext/>
      <w:keepLines/>
      <w:numPr>
        <w:ilvl w:val="8"/>
        <w:numId w:val="1"/>
      </w:numPr>
      <w:spacing w:before="240" w:after="64" w:line="320" w:lineRule="auto"/>
      <w:outlineLvl w:val="8"/>
    </w:pPr>
    <w:rPr>
      <w:rFonts w:ascii="Arial" w:hAnsi="Arial" w:eastAsia="黑体" w:cs="Arial"/>
      <w:spacing w:val="-2"/>
      <w:position w:val="-6"/>
      <w:sz w:val="28"/>
      <w:szCs w:val="28"/>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5"/>
    <w:qFormat/>
    <w:uiPriority w:val="99"/>
    <w:pPr>
      <w:spacing w:line="400" w:lineRule="exact"/>
    </w:pPr>
    <w:rPr>
      <w:rFonts w:ascii="楷体_GB2312" w:cs="楷体_GB2312"/>
      <w:sz w:val="28"/>
      <w:szCs w:val="28"/>
    </w:rPr>
  </w:style>
  <w:style w:type="paragraph" w:customStyle="1" w:styleId="3">
    <w:name w:val="Default"/>
    <w:qFormat/>
    <w:uiPriority w:val="99"/>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styleId="9">
    <w:name w:val="Normal Indent"/>
    <w:basedOn w:val="1"/>
    <w:link w:val="98"/>
    <w:qFormat/>
    <w:uiPriority w:val="99"/>
    <w:pPr>
      <w:adjustRightInd w:val="0"/>
      <w:ind w:firstLine="420"/>
      <w:jc w:val="left"/>
      <w:textAlignment w:val="baseline"/>
    </w:pPr>
    <w:rPr>
      <w:sz w:val="24"/>
      <w:szCs w:val="24"/>
    </w:rPr>
  </w:style>
  <w:style w:type="paragraph" w:styleId="14">
    <w:name w:val="toc 7"/>
    <w:basedOn w:val="1"/>
    <w:next w:val="1"/>
    <w:semiHidden/>
    <w:qFormat/>
    <w:uiPriority w:val="99"/>
    <w:pPr>
      <w:ind w:left="2520"/>
    </w:pPr>
  </w:style>
  <w:style w:type="paragraph" w:styleId="15">
    <w:name w:val="index 8"/>
    <w:basedOn w:val="1"/>
    <w:next w:val="1"/>
    <w:semiHidden/>
    <w:qFormat/>
    <w:uiPriority w:val="99"/>
    <w:pPr>
      <w:ind w:left="2940"/>
    </w:pPr>
  </w:style>
  <w:style w:type="paragraph" w:styleId="16">
    <w:name w:val="index 5"/>
    <w:basedOn w:val="1"/>
    <w:next w:val="1"/>
    <w:semiHidden/>
    <w:qFormat/>
    <w:uiPriority w:val="99"/>
    <w:pPr>
      <w:ind w:left="1680"/>
    </w:pPr>
  </w:style>
  <w:style w:type="paragraph" w:styleId="17">
    <w:name w:val="Document Map"/>
    <w:basedOn w:val="1"/>
    <w:link w:val="77"/>
    <w:semiHidden/>
    <w:qFormat/>
    <w:uiPriority w:val="99"/>
    <w:pPr>
      <w:shd w:val="clear" w:color="auto" w:fill="000080"/>
    </w:pPr>
  </w:style>
  <w:style w:type="paragraph" w:styleId="18">
    <w:name w:val="annotation text"/>
    <w:basedOn w:val="1"/>
    <w:link w:val="78"/>
    <w:semiHidden/>
    <w:qFormat/>
    <w:uiPriority w:val="99"/>
    <w:pPr>
      <w:jc w:val="left"/>
    </w:pPr>
  </w:style>
  <w:style w:type="paragraph" w:styleId="19">
    <w:name w:val="index 6"/>
    <w:basedOn w:val="1"/>
    <w:next w:val="1"/>
    <w:semiHidden/>
    <w:qFormat/>
    <w:uiPriority w:val="99"/>
    <w:pPr>
      <w:ind w:left="2100"/>
    </w:pPr>
  </w:style>
  <w:style w:type="paragraph" w:styleId="20">
    <w:name w:val="Body Text Indent"/>
    <w:basedOn w:val="1"/>
    <w:link w:val="79"/>
    <w:qFormat/>
    <w:uiPriority w:val="99"/>
    <w:pPr>
      <w:spacing w:line="520" w:lineRule="exact"/>
      <w:ind w:left="570"/>
    </w:pPr>
    <w:rPr>
      <w:rFonts w:ascii="方正仿宋简体" w:hAnsi="创艺简仿宋" w:eastAsia="方正仿宋简体" w:cs="方正仿宋简体"/>
      <w:sz w:val="24"/>
      <w:szCs w:val="24"/>
    </w:rPr>
  </w:style>
  <w:style w:type="paragraph" w:styleId="21">
    <w:name w:val="index 4"/>
    <w:basedOn w:val="1"/>
    <w:next w:val="1"/>
    <w:semiHidden/>
    <w:qFormat/>
    <w:uiPriority w:val="99"/>
    <w:pPr>
      <w:ind w:left="1260"/>
    </w:pPr>
  </w:style>
  <w:style w:type="paragraph" w:styleId="22">
    <w:name w:val="toc 5"/>
    <w:basedOn w:val="1"/>
    <w:next w:val="1"/>
    <w:semiHidden/>
    <w:qFormat/>
    <w:uiPriority w:val="99"/>
    <w:pPr>
      <w:ind w:left="1680"/>
    </w:pPr>
  </w:style>
  <w:style w:type="paragraph" w:styleId="23">
    <w:name w:val="toc 3"/>
    <w:basedOn w:val="1"/>
    <w:next w:val="1"/>
    <w:semiHidden/>
    <w:qFormat/>
    <w:uiPriority w:val="99"/>
    <w:pPr>
      <w:ind w:left="840"/>
    </w:pPr>
  </w:style>
  <w:style w:type="paragraph" w:styleId="24">
    <w:name w:val="Plain Text"/>
    <w:basedOn w:val="1"/>
    <w:link w:val="80"/>
    <w:qFormat/>
    <w:uiPriority w:val="99"/>
    <w:rPr>
      <w:rFonts w:ascii="宋体" w:hAnsi="Courier New" w:cs="宋体"/>
    </w:rPr>
  </w:style>
  <w:style w:type="paragraph" w:styleId="25">
    <w:name w:val="toc 8"/>
    <w:basedOn w:val="1"/>
    <w:next w:val="1"/>
    <w:semiHidden/>
    <w:qFormat/>
    <w:uiPriority w:val="99"/>
    <w:pPr>
      <w:ind w:left="2940"/>
    </w:pPr>
  </w:style>
  <w:style w:type="paragraph" w:styleId="26">
    <w:name w:val="index 3"/>
    <w:basedOn w:val="1"/>
    <w:next w:val="1"/>
    <w:semiHidden/>
    <w:qFormat/>
    <w:uiPriority w:val="99"/>
    <w:pPr>
      <w:ind w:left="840"/>
    </w:pPr>
  </w:style>
  <w:style w:type="paragraph" w:styleId="27">
    <w:name w:val="Date"/>
    <w:basedOn w:val="1"/>
    <w:next w:val="1"/>
    <w:link w:val="81"/>
    <w:qFormat/>
    <w:uiPriority w:val="99"/>
    <w:rPr>
      <w:rFonts w:ascii="宋体" w:hAnsi="宋体" w:cs="宋体"/>
      <w:sz w:val="24"/>
      <w:szCs w:val="24"/>
    </w:rPr>
  </w:style>
  <w:style w:type="paragraph" w:styleId="28">
    <w:name w:val="Body Text Indent 2"/>
    <w:basedOn w:val="1"/>
    <w:link w:val="82"/>
    <w:qFormat/>
    <w:uiPriority w:val="99"/>
    <w:pPr>
      <w:tabs>
        <w:tab w:val="left" w:pos="0"/>
      </w:tabs>
      <w:spacing w:line="360" w:lineRule="auto"/>
      <w:ind w:firstLine="502" w:firstLineChars="209"/>
    </w:pPr>
    <w:rPr>
      <w:rFonts w:ascii="宋体" w:eastAsia="宋体" w:cs="宋体"/>
      <w:b/>
      <w:bCs/>
      <w:sz w:val="24"/>
      <w:szCs w:val="24"/>
    </w:rPr>
  </w:style>
  <w:style w:type="paragraph" w:styleId="29">
    <w:name w:val="Balloon Text"/>
    <w:basedOn w:val="1"/>
    <w:link w:val="83"/>
    <w:semiHidden/>
    <w:qFormat/>
    <w:uiPriority w:val="99"/>
    <w:rPr>
      <w:sz w:val="18"/>
      <w:szCs w:val="18"/>
    </w:rPr>
  </w:style>
  <w:style w:type="paragraph" w:styleId="30">
    <w:name w:val="footer"/>
    <w:basedOn w:val="1"/>
    <w:link w:val="84"/>
    <w:qFormat/>
    <w:uiPriority w:val="99"/>
    <w:pPr>
      <w:tabs>
        <w:tab w:val="center" w:pos="4153"/>
        <w:tab w:val="right" w:pos="8306"/>
      </w:tabs>
      <w:snapToGrid w:val="0"/>
      <w:jc w:val="left"/>
    </w:pPr>
    <w:rPr>
      <w:sz w:val="18"/>
      <w:szCs w:val="18"/>
    </w:rPr>
  </w:style>
  <w:style w:type="paragraph" w:styleId="31">
    <w:name w:val="header"/>
    <w:basedOn w:val="1"/>
    <w:link w:val="85"/>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semiHidden/>
    <w:qFormat/>
    <w:uiPriority w:val="99"/>
    <w:pPr>
      <w:adjustRightInd w:val="0"/>
      <w:jc w:val="left"/>
      <w:textAlignment w:val="baseline"/>
    </w:pPr>
    <w:rPr>
      <w:sz w:val="24"/>
      <w:szCs w:val="24"/>
    </w:rPr>
  </w:style>
  <w:style w:type="paragraph" w:styleId="33">
    <w:name w:val="toc 4"/>
    <w:basedOn w:val="1"/>
    <w:next w:val="1"/>
    <w:semiHidden/>
    <w:qFormat/>
    <w:uiPriority w:val="99"/>
    <w:pPr>
      <w:ind w:left="1260"/>
    </w:pPr>
  </w:style>
  <w:style w:type="paragraph" w:styleId="34">
    <w:name w:val="index heading"/>
    <w:basedOn w:val="1"/>
    <w:next w:val="35"/>
    <w:semiHidden/>
    <w:qFormat/>
    <w:uiPriority w:val="99"/>
  </w:style>
  <w:style w:type="paragraph" w:styleId="35">
    <w:name w:val="index 1"/>
    <w:basedOn w:val="1"/>
    <w:next w:val="1"/>
    <w:semiHidden/>
    <w:qFormat/>
    <w:uiPriority w:val="99"/>
  </w:style>
  <w:style w:type="paragraph" w:styleId="36">
    <w:name w:val="footnote text"/>
    <w:basedOn w:val="1"/>
    <w:link w:val="86"/>
    <w:semiHidden/>
    <w:qFormat/>
    <w:uiPriority w:val="99"/>
    <w:pPr>
      <w:snapToGrid w:val="0"/>
      <w:jc w:val="left"/>
    </w:pPr>
    <w:rPr>
      <w:sz w:val="18"/>
      <w:szCs w:val="18"/>
    </w:rPr>
  </w:style>
  <w:style w:type="paragraph" w:styleId="37">
    <w:name w:val="toc 6"/>
    <w:basedOn w:val="1"/>
    <w:next w:val="1"/>
    <w:semiHidden/>
    <w:qFormat/>
    <w:uiPriority w:val="99"/>
    <w:pPr>
      <w:ind w:left="2100"/>
    </w:pPr>
  </w:style>
  <w:style w:type="paragraph" w:styleId="38">
    <w:name w:val="Body Text Indent 3"/>
    <w:basedOn w:val="1"/>
    <w:link w:val="87"/>
    <w:qFormat/>
    <w:uiPriority w:val="99"/>
    <w:pPr>
      <w:spacing w:line="360" w:lineRule="auto"/>
      <w:ind w:firstLine="617" w:firstLineChars="257"/>
    </w:pPr>
    <w:rPr>
      <w:rFonts w:eastAsia="宋体"/>
      <w:sz w:val="24"/>
      <w:szCs w:val="24"/>
    </w:rPr>
  </w:style>
  <w:style w:type="paragraph" w:styleId="39">
    <w:name w:val="index 7"/>
    <w:basedOn w:val="1"/>
    <w:next w:val="1"/>
    <w:semiHidden/>
    <w:qFormat/>
    <w:uiPriority w:val="99"/>
    <w:pPr>
      <w:ind w:left="2520"/>
    </w:pPr>
  </w:style>
  <w:style w:type="paragraph" w:styleId="40">
    <w:name w:val="index 9"/>
    <w:basedOn w:val="1"/>
    <w:next w:val="1"/>
    <w:semiHidden/>
    <w:qFormat/>
    <w:uiPriority w:val="99"/>
    <w:pPr>
      <w:ind w:left="3360"/>
    </w:pPr>
  </w:style>
  <w:style w:type="paragraph" w:styleId="41">
    <w:name w:val="table of figures"/>
    <w:basedOn w:val="1"/>
    <w:next w:val="1"/>
    <w:semiHidden/>
    <w:qFormat/>
    <w:uiPriority w:val="99"/>
    <w:pPr>
      <w:adjustRightInd w:val="0"/>
      <w:ind w:left="420" w:hanging="420"/>
      <w:jc w:val="left"/>
      <w:textAlignment w:val="baseline"/>
    </w:pPr>
    <w:rPr>
      <w:smallCaps/>
      <w:sz w:val="24"/>
      <w:szCs w:val="24"/>
    </w:rPr>
  </w:style>
  <w:style w:type="paragraph" w:styleId="42">
    <w:name w:val="toc 2"/>
    <w:basedOn w:val="1"/>
    <w:next w:val="1"/>
    <w:semiHidden/>
    <w:qFormat/>
    <w:uiPriority w:val="99"/>
    <w:pPr>
      <w:ind w:left="420"/>
    </w:pPr>
  </w:style>
  <w:style w:type="paragraph" w:styleId="43">
    <w:name w:val="toc 9"/>
    <w:basedOn w:val="1"/>
    <w:next w:val="1"/>
    <w:semiHidden/>
    <w:qFormat/>
    <w:uiPriority w:val="99"/>
    <w:pPr>
      <w:ind w:left="3360"/>
    </w:pPr>
  </w:style>
  <w:style w:type="paragraph" w:styleId="44">
    <w:name w:val="HTML Preformatted"/>
    <w:basedOn w:val="1"/>
    <w:link w:val="8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45">
    <w:name w:val="Normal (Web)"/>
    <w:basedOn w:val="1"/>
    <w:qFormat/>
    <w:locked/>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46">
    <w:name w:val="index 2"/>
    <w:basedOn w:val="1"/>
    <w:next w:val="1"/>
    <w:semiHidden/>
    <w:qFormat/>
    <w:uiPriority w:val="99"/>
    <w:pPr>
      <w:ind w:left="420"/>
    </w:pPr>
  </w:style>
  <w:style w:type="paragraph" w:styleId="47">
    <w:name w:val="annotation subject"/>
    <w:basedOn w:val="18"/>
    <w:next w:val="18"/>
    <w:link w:val="89"/>
    <w:semiHidden/>
    <w:qFormat/>
    <w:uiPriority w:val="99"/>
    <w:rPr>
      <w:b/>
      <w:bCs/>
    </w:rPr>
  </w:style>
  <w:style w:type="paragraph" w:styleId="48">
    <w:name w:val="Body Text First Indent"/>
    <w:basedOn w:val="2"/>
    <w:link w:val="76"/>
    <w:qFormat/>
    <w:uiPriority w:val="99"/>
    <w:pPr>
      <w:tabs>
        <w:tab w:val="left" w:pos="420"/>
      </w:tabs>
      <w:spacing w:beforeLines="50" w:after="120" w:line="300" w:lineRule="auto"/>
      <w:ind w:firstLine="420" w:firstLineChars="250"/>
    </w:pPr>
    <w:rPr>
      <w:sz w:val="24"/>
      <w:szCs w:val="24"/>
    </w:rPr>
  </w:style>
  <w:style w:type="table" w:styleId="50">
    <w:name w:val="Table Grid"/>
    <w:basedOn w:val="4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99"/>
    <w:rPr>
      <w:b/>
      <w:bCs/>
    </w:rPr>
  </w:style>
  <w:style w:type="character" w:styleId="53">
    <w:name w:val="page number"/>
    <w:basedOn w:val="51"/>
    <w:qFormat/>
    <w:uiPriority w:val="99"/>
  </w:style>
  <w:style w:type="character" w:styleId="54">
    <w:name w:val="FollowedHyperlink"/>
    <w:basedOn w:val="51"/>
    <w:qFormat/>
    <w:uiPriority w:val="99"/>
    <w:rPr>
      <w:color w:val="auto"/>
      <w:u w:val="single"/>
    </w:rPr>
  </w:style>
  <w:style w:type="character" w:styleId="55">
    <w:name w:val="Emphasis"/>
    <w:basedOn w:val="51"/>
    <w:qFormat/>
    <w:uiPriority w:val="99"/>
    <w:rPr>
      <w:i/>
      <w:iCs/>
    </w:rPr>
  </w:style>
  <w:style w:type="character" w:styleId="56">
    <w:name w:val="line number"/>
    <w:basedOn w:val="51"/>
    <w:qFormat/>
    <w:uiPriority w:val="99"/>
  </w:style>
  <w:style w:type="character" w:styleId="57">
    <w:name w:val="HTML Definition"/>
    <w:basedOn w:val="51"/>
    <w:qFormat/>
    <w:uiPriority w:val="99"/>
    <w:rPr>
      <w:i/>
      <w:iCs/>
    </w:rPr>
  </w:style>
  <w:style w:type="character" w:styleId="58">
    <w:name w:val="HTML Variable"/>
    <w:basedOn w:val="51"/>
    <w:semiHidden/>
    <w:unhideWhenUsed/>
    <w:qFormat/>
    <w:locked/>
    <w:uiPriority w:val="99"/>
  </w:style>
  <w:style w:type="character" w:styleId="59">
    <w:name w:val="Hyperlink"/>
    <w:basedOn w:val="51"/>
    <w:qFormat/>
    <w:uiPriority w:val="99"/>
    <w:rPr>
      <w:color w:val="000000"/>
      <w:u w:val="none"/>
    </w:rPr>
  </w:style>
  <w:style w:type="character" w:styleId="60">
    <w:name w:val="HTML Code"/>
    <w:basedOn w:val="51"/>
    <w:qFormat/>
    <w:uiPriority w:val="99"/>
    <w:rPr>
      <w:rFonts w:ascii="Menlo" w:hAnsi="Menlo" w:eastAsia="Times New Roman" w:cs="Menlo"/>
      <w:color w:val="auto"/>
      <w:sz w:val="21"/>
      <w:szCs w:val="21"/>
      <w:shd w:val="clear" w:color="auto" w:fill="auto"/>
    </w:rPr>
  </w:style>
  <w:style w:type="character" w:styleId="61">
    <w:name w:val="annotation reference"/>
    <w:basedOn w:val="51"/>
    <w:semiHidden/>
    <w:qFormat/>
    <w:uiPriority w:val="99"/>
    <w:rPr>
      <w:sz w:val="21"/>
      <w:szCs w:val="21"/>
    </w:rPr>
  </w:style>
  <w:style w:type="character" w:styleId="62">
    <w:name w:val="HTML Cite"/>
    <w:basedOn w:val="51"/>
    <w:qFormat/>
    <w:uiPriority w:val="99"/>
  </w:style>
  <w:style w:type="character" w:styleId="63">
    <w:name w:val="footnote reference"/>
    <w:basedOn w:val="51"/>
    <w:semiHidden/>
    <w:qFormat/>
    <w:uiPriority w:val="99"/>
    <w:rPr>
      <w:vertAlign w:val="superscript"/>
    </w:rPr>
  </w:style>
  <w:style w:type="character" w:styleId="64">
    <w:name w:val="HTML Keyboard"/>
    <w:basedOn w:val="51"/>
    <w:qFormat/>
    <w:uiPriority w:val="99"/>
    <w:rPr>
      <w:rFonts w:ascii="Menlo" w:hAnsi="Menlo" w:eastAsia="Times New Roman" w:cs="Menlo"/>
      <w:sz w:val="21"/>
      <w:szCs w:val="21"/>
    </w:rPr>
  </w:style>
  <w:style w:type="character" w:styleId="65">
    <w:name w:val="HTML Sample"/>
    <w:basedOn w:val="51"/>
    <w:qFormat/>
    <w:uiPriority w:val="99"/>
    <w:rPr>
      <w:rFonts w:ascii="Menlo" w:hAnsi="Menlo" w:eastAsia="Times New Roman" w:cs="Menlo"/>
      <w:sz w:val="21"/>
      <w:szCs w:val="21"/>
    </w:rPr>
  </w:style>
  <w:style w:type="character" w:customStyle="1" w:styleId="66">
    <w:name w:val="标题 1 Char"/>
    <w:basedOn w:val="51"/>
    <w:link w:val="4"/>
    <w:qFormat/>
    <w:uiPriority w:val="9"/>
    <w:rPr>
      <w:rFonts w:eastAsia="楷体_GB2312"/>
      <w:b/>
      <w:bCs/>
      <w:kern w:val="44"/>
      <w:sz w:val="44"/>
      <w:szCs w:val="44"/>
    </w:rPr>
  </w:style>
  <w:style w:type="character" w:customStyle="1" w:styleId="67">
    <w:name w:val="标题 2 Char"/>
    <w:basedOn w:val="51"/>
    <w:link w:val="5"/>
    <w:qFormat/>
    <w:locked/>
    <w:uiPriority w:val="99"/>
    <w:rPr>
      <w:rFonts w:ascii="宋体" w:hAnsi="宋体" w:eastAsia="楷体_GB2312" w:cs="宋体"/>
      <w:b/>
      <w:bCs/>
      <w:kern w:val="2"/>
      <w:sz w:val="26"/>
      <w:szCs w:val="26"/>
      <w:lang w:val="en-US" w:eastAsia="zh-CN"/>
    </w:rPr>
  </w:style>
  <w:style w:type="character" w:customStyle="1" w:styleId="68">
    <w:name w:val="标题 3 Char"/>
    <w:basedOn w:val="51"/>
    <w:link w:val="6"/>
    <w:semiHidden/>
    <w:qFormat/>
    <w:uiPriority w:val="9"/>
    <w:rPr>
      <w:rFonts w:eastAsia="楷体_GB2312"/>
      <w:b/>
      <w:bCs/>
      <w:sz w:val="32"/>
      <w:szCs w:val="32"/>
    </w:rPr>
  </w:style>
  <w:style w:type="character" w:customStyle="1" w:styleId="69">
    <w:name w:val="标题 4 Char"/>
    <w:basedOn w:val="51"/>
    <w:link w:val="7"/>
    <w:semiHidden/>
    <w:qFormat/>
    <w:uiPriority w:val="9"/>
    <w:rPr>
      <w:rFonts w:ascii="Cambria" w:hAnsi="Cambria" w:eastAsia="宋体" w:cs="Times New Roman"/>
      <w:b/>
      <w:bCs/>
      <w:sz w:val="28"/>
      <w:szCs w:val="28"/>
    </w:rPr>
  </w:style>
  <w:style w:type="character" w:customStyle="1" w:styleId="70">
    <w:name w:val="标题 5 Char"/>
    <w:basedOn w:val="51"/>
    <w:link w:val="8"/>
    <w:semiHidden/>
    <w:qFormat/>
    <w:uiPriority w:val="9"/>
    <w:rPr>
      <w:rFonts w:eastAsia="楷体_GB2312"/>
      <w:b/>
      <w:bCs/>
      <w:sz w:val="28"/>
      <w:szCs w:val="28"/>
    </w:rPr>
  </w:style>
  <w:style w:type="character" w:customStyle="1" w:styleId="71">
    <w:name w:val="标题 6 Char"/>
    <w:basedOn w:val="51"/>
    <w:link w:val="10"/>
    <w:semiHidden/>
    <w:qFormat/>
    <w:uiPriority w:val="9"/>
    <w:rPr>
      <w:rFonts w:ascii="Cambria" w:hAnsi="Cambria" w:eastAsia="宋体" w:cs="Times New Roman"/>
      <w:b/>
      <w:bCs/>
      <w:sz w:val="24"/>
      <w:szCs w:val="24"/>
    </w:rPr>
  </w:style>
  <w:style w:type="character" w:customStyle="1" w:styleId="72">
    <w:name w:val="标题 7 Char"/>
    <w:basedOn w:val="51"/>
    <w:link w:val="11"/>
    <w:semiHidden/>
    <w:qFormat/>
    <w:uiPriority w:val="9"/>
    <w:rPr>
      <w:rFonts w:eastAsia="楷体_GB2312"/>
      <w:b/>
      <w:bCs/>
      <w:sz w:val="24"/>
      <w:szCs w:val="24"/>
    </w:rPr>
  </w:style>
  <w:style w:type="character" w:customStyle="1" w:styleId="73">
    <w:name w:val="标题 8 Char"/>
    <w:basedOn w:val="51"/>
    <w:link w:val="12"/>
    <w:semiHidden/>
    <w:qFormat/>
    <w:uiPriority w:val="9"/>
    <w:rPr>
      <w:rFonts w:ascii="Cambria" w:hAnsi="Cambria" w:eastAsia="宋体" w:cs="Times New Roman"/>
      <w:sz w:val="24"/>
      <w:szCs w:val="24"/>
    </w:rPr>
  </w:style>
  <w:style w:type="character" w:customStyle="1" w:styleId="74">
    <w:name w:val="标题 9 Char"/>
    <w:basedOn w:val="51"/>
    <w:link w:val="13"/>
    <w:semiHidden/>
    <w:qFormat/>
    <w:uiPriority w:val="9"/>
    <w:rPr>
      <w:rFonts w:ascii="Cambria" w:hAnsi="Cambria" w:eastAsia="宋体" w:cs="Times New Roman"/>
      <w:szCs w:val="21"/>
    </w:rPr>
  </w:style>
  <w:style w:type="character" w:customStyle="1" w:styleId="75">
    <w:name w:val="正文文本 Char"/>
    <w:basedOn w:val="51"/>
    <w:link w:val="2"/>
    <w:semiHidden/>
    <w:qFormat/>
    <w:uiPriority w:val="99"/>
    <w:rPr>
      <w:rFonts w:eastAsia="楷体_GB2312"/>
      <w:sz w:val="26"/>
      <w:szCs w:val="26"/>
    </w:rPr>
  </w:style>
  <w:style w:type="character" w:customStyle="1" w:styleId="76">
    <w:name w:val="正文首行缩进 Char"/>
    <w:basedOn w:val="51"/>
    <w:link w:val="48"/>
    <w:qFormat/>
    <w:locked/>
    <w:uiPriority w:val="99"/>
    <w:rPr>
      <w:rFonts w:ascii="楷体_GB2312" w:eastAsia="楷体_GB2312" w:cs="楷体_GB2312"/>
      <w:kern w:val="2"/>
      <w:sz w:val="24"/>
      <w:szCs w:val="24"/>
    </w:rPr>
  </w:style>
  <w:style w:type="character" w:customStyle="1" w:styleId="77">
    <w:name w:val="文档结构图 Char"/>
    <w:basedOn w:val="51"/>
    <w:link w:val="17"/>
    <w:semiHidden/>
    <w:qFormat/>
    <w:uiPriority w:val="99"/>
    <w:rPr>
      <w:rFonts w:eastAsia="楷体_GB2312"/>
      <w:sz w:val="0"/>
      <w:szCs w:val="0"/>
    </w:rPr>
  </w:style>
  <w:style w:type="character" w:customStyle="1" w:styleId="78">
    <w:name w:val="批注文字 Char"/>
    <w:basedOn w:val="51"/>
    <w:link w:val="18"/>
    <w:semiHidden/>
    <w:qFormat/>
    <w:locked/>
    <w:uiPriority w:val="99"/>
    <w:rPr>
      <w:rFonts w:eastAsia="楷体_GB2312"/>
      <w:kern w:val="2"/>
      <w:sz w:val="26"/>
      <w:szCs w:val="26"/>
    </w:rPr>
  </w:style>
  <w:style w:type="character" w:customStyle="1" w:styleId="79">
    <w:name w:val="正文文本缩进 Char"/>
    <w:basedOn w:val="51"/>
    <w:link w:val="20"/>
    <w:qFormat/>
    <w:locked/>
    <w:uiPriority w:val="99"/>
    <w:rPr>
      <w:rFonts w:ascii="方正仿宋简体" w:hAnsi="创艺简仿宋" w:eastAsia="方正仿宋简体" w:cs="方正仿宋简体"/>
      <w:kern w:val="2"/>
      <w:sz w:val="24"/>
      <w:szCs w:val="24"/>
      <w:lang w:val="en-US" w:eastAsia="zh-CN"/>
    </w:rPr>
  </w:style>
  <w:style w:type="character" w:customStyle="1" w:styleId="80">
    <w:name w:val="纯文本 Char"/>
    <w:basedOn w:val="51"/>
    <w:link w:val="24"/>
    <w:qFormat/>
    <w:locked/>
    <w:uiPriority w:val="99"/>
    <w:rPr>
      <w:rFonts w:ascii="宋体" w:hAnsi="Courier New" w:eastAsia="楷体_GB2312" w:cs="宋体"/>
      <w:kern w:val="2"/>
      <w:sz w:val="26"/>
      <w:szCs w:val="26"/>
      <w:lang w:val="en-US" w:eastAsia="zh-CN"/>
    </w:rPr>
  </w:style>
  <w:style w:type="character" w:customStyle="1" w:styleId="81">
    <w:name w:val="日期 Char"/>
    <w:basedOn w:val="51"/>
    <w:link w:val="27"/>
    <w:semiHidden/>
    <w:qFormat/>
    <w:uiPriority w:val="99"/>
    <w:rPr>
      <w:rFonts w:eastAsia="楷体_GB2312"/>
      <w:sz w:val="26"/>
      <w:szCs w:val="26"/>
    </w:rPr>
  </w:style>
  <w:style w:type="character" w:customStyle="1" w:styleId="82">
    <w:name w:val="正文文本缩进 2 Char"/>
    <w:basedOn w:val="51"/>
    <w:link w:val="28"/>
    <w:semiHidden/>
    <w:qFormat/>
    <w:uiPriority w:val="99"/>
    <w:rPr>
      <w:rFonts w:eastAsia="楷体_GB2312"/>
      <w:sz w:val="26"/>
      <w:szCs w:val="26"/>
    </w:rPr>
  </w:style>
  <w:style w:type="character" w:customStyle="1" w:styleId="83">
    <w:name w:val="批注框文本 Char"/>
    <w:basedOn w:val="51"/>
    <w:link w:val="29"/>
    <w:semiHidden/>
    <w:qFormat/>
    <w:uiPriority w:val="99"/>
    <w:rPr>
      <w:rFonts w:eastAsia="楷体_GB2312"/>
      <w:sz w:val="0"/>
      <w:szCs w:val="0"/>
    </w:rPr>
  </w:style>
  <w:style w:type="character" w:customStyle="1" w:styleId="84">
    <w:name w:val="页脚 Char"/>
    <w:basedOn w:val="51"/>
    <w:link w:val="30"/>
    <w:qFormat/>
    <w:locked/>
    <w:uiPriority w:val="99"/>
    <w:rPr>
      <w:rFonts w:eastAsia="楷体_GB2312"/>
      <w:kern w:val="2"/>
      <w:sz w:val="18"/>
      <w:szCs w:val="18"/>
    </w:rPr>
  </w:style>
  <w:style w:type="character" w:customStyle="1" w:styleId="85">
    <w:name w:val="页眉 Char"/>
    <w:basedOn w:val="51"/>
    <w:link w:val="31"/>
    <w:qFormat/>
    <w:locked/>
    <w:uiPriority w:val="99"/>
    <w:rPr>
      <w:rFonts w:eastAsia="楷体_GB2312"/>
      <w:kern w:val="2"/>
      <w:sz w:val="18"/>
      <w:szCs w:val="18"/>
    </w:rPr>
  </w:style>
  <w:style w:type="character" w:customStyle="1" w:styleId="86">
    <w:name w:val="脚注文本 Char"/>
    <w:basedOn w:val="51"/>
    <w:link w:val="36"/>
    <w:semiHidden/>
    <w:qFormat/>
    <w:uiPriority w:val="99"/>
    <w:rPr>
      <w:rFonts w:eastAsia="楷体_GB2312"/>
      <w:sz w:val="18"/>
      <w:szCs w:val="18"/>
    </w:rPr>
  </w:style>
  <w:style w:type="character" w:customStyle="1" w:styleId="87">
    <w:name w:val="正文文本缩进 3 Char"/>
    <w:basedOn w:val="51"/>
    <w:link w:val="38"/>
    <w:semiHidden/>
    <w:qFormat/>
    <w:uiPriority w:val="99"/>
    <w:rPr>
      <w:rFonts w:eastAsia="楷体_GB2312"/>
      <w:sz w:val="16"/>
      <w:szCs w:val="16"/>
    </w:rPr>
  </w:style>
  <w:style w:type="character" w:customStyle="1" w:styleId="88">
    <w:name w:val="HTML 预设格式 Char"/>
    <w:basedOn w:val="51"/>
    <w:link w:val="44"/>
    <w:semiHidden/>
    <w:qFormat/>
    <w:uiPriority w:val="99"/>
    <w:rPr>
      <w:rFonts w:ascii="Courier New" w:hAnsi="Courier New" w:eastAsia="楷体_GB2312" w:cs="Courier New"/>
      <w:sz w:val="20"/>
      <w:szCs w:val="20"/>
    </w:rPr>
  </w:style>
  <w:style w:type="character" w:customStyle="1" w:styleId="89">
    <w:name w:val="批注主题 Char"/>
    <w:basedOn w:val="78"/>
    <w:link w:val="47"/>
    <w:semiHidden/>
    <w:qFormat/>
    <w:uiPriority w:val="99"/>
    <w:rPr>
      <w:b/>
      <w:bCs/>
    </w:rPr>
  </w:style>
  <w:style w:type="character" w:customStyle="1" w:styleId="90">
    <w:name w:val="bds_nopic1"/>
    <w:basedOn w:val="51"/>
    <w:qFormat/>
    <w:uiPriority w:val="99"/>
  </w:style>
  <w:style w:type="character" w:customStyle="1" w:styleId="91">
    <w:name w:val="bds_more8"/>
    <w:qFormat/>
    <w:uiPriority w:val="99"/>
    <w:rPr>
      <w:rFonts w:ascii="宋体" w:hAnsi="宋体" w:eastAsia="宋体" w:cs="宋体"/>
    </w:rPr>
  </w:style>
  <w:style w:type="character" w:customStyle="1" w:styleId="92">
    <w:name w:val="bds_more4"/>
    <w:qFormat/>
    <w:uiPriority w:val="99"/>
    <w:rPr>
      <w:rFonts w:ascii="宋体" w:hAnsi="宋体" w:eastAsia="宋体" w:cs="宋体"/>
    </w:rPr>
  </w:style>
  <w:style w:type="character" w:customStyle="1" w:styleId="93">
    <w:name w:val="hilite6"/>
    <w:qFormat/>
    <w:uiPriority w:val="99"/>
    <w:rPr>
      <w:color w:val="FFFFFF"/>
      <w:shd w:val="clear" w:color="auto" w:fill="auto"/>
    </w:rPr>
  </w:style>
  <w:style w:type="character" w:customStyle="1" w:styleId="94">
    <w:name w:val="hover61"/>
    <w:qFormat/>
    <w:uiPriority w:val="99"/>
    <w:rPr>
      <w:shd w:val="clear" w:color="auto" w:fill="FF0000"/>
    </w:rPr>
  </w:style>
  <w:style w:type="character" w:customStyle="1" w:styleId="95">
    <w:name w:val="other"/>
    <w:basedOn w:val="51"/>
    <w:qFormat/>
    <w:uiPriority w:val="99"/>
  </w:style>
  <w:style w:type="character" w:customStyle="1" w:styleId="96">
    <w:name w:val="active"/>
    <w:qFormat/>
    <w:uiPriority w:val="99"/>
    <w:rPr>
      <w:color w:val="00FF00"/>
      <w:shd w:val="clear" w:color="auto" w:fill="000000"/>
    </w:rPr>
  </w:style>
  <w:style w:type="character" w:customStyle="1" w:styleId="97">
    <w:name w:val="bds_more5"/>
    <w:basedOn w:val="51"/>
    <w:qFormat/>
    <w:uiPriority w:val="99"/>
  </w:style>
  <w:style w:type="character" w:customStyle="1" w:styleId="98">
    <w:name w:val="正文缩进 Char"/>
    <w:link w:val="9"/>
    <w:qFormat/>
    <w:locked/>
    <w:uiPriority w:val="99"/>
    <w:rPr>
      <w:rFonts w:eastAsia="楷体_GB2312"/>
      <w:kern w:val="2"/>
      <w:sz w:val="24"/>
      <w:szCs w:val="24"/>
      <w:lang w:val="en-US" w:eastAsia="zh-CN"/>
    </w:rPr>
  </w:style>
  <w:style w:type="character" w:customStyle="1" w:styleId="99">
    <w:name w:val="hilite"/>
    <w:qFormat/>
    <w:uiPriority w:val="99"/>
    <w:rPr>
      <w:color w:val="FFFFFF"/>
      <w:shd w:val="clear" w:color="auto" w:fill="auto"/>
    </w:rPr>
  </w:style>
  <w:style w:type="character" w:customStyle="1" w:styleId="100">
    <w:name w:val="state"/>
    <w:qFormat/>
    <w:uiPriority w:val="99"/>
    <w:rPr>
      <w:b/>
      <w:bCs/>
      <w:color w:val="FFFFFF"/>
      <w:sz w:val="19"/>
      <w:szCs w:val="19"/>
    </w:rPr>
  </w:style>
  <w:style w:type="character" w:customStyle="1" w:styleId="101">
    <w:name w:val="noused"/>
    <w:qFormat/>
    <w:uiPriority w:val="99"/>
    <w:rPr>
      <w:b/>
      <w:bCs/>
      <w:color w:val="FFFFFF"/>
      <w:sz w:val="21"/>
      <w:szCs w:val="21"/>
    </w:rPr>
  </w:style>
  <w:style w:type="character" w:customStyle="1" w:styleId="102">
    <w:name w:val="bds_more6"/>
    <w:basedOn w:val="51"/>
    <w:qFormat/>
    <w:uiPriority w:val="99"/>
  </w:style>
  <w:style w:type="character" w:customStyle="1" w:styleId="103">
    <w:name w:val="Char Char2"/>
    <w:qFormat/>
    <w:uiPriority w:val="99"/>
    <w:rPr>
      <w:rFonts w:ascii="宋体" w:hAnsi="宋体" w:eastAsia="楷体_GB2312" w:cs="宋体"/>
      <w:b/>
      <w:bCs/>
      <w:kern w:val="2"/>
      <w:sz w:val="26"/>
      <w:szCs w:val="26"/>
      <w:lang w:val="en-US" w:eastAsia="zh-CN"/>
    </w:rPr>
  </w:style>
  <w:style w:type="character" w:customStyle="1" w:styleId="104">
    <w:name w:val="bds_nopic"/>
    <w:basedOn w:val="51"/>
    <w:qFormat/>
    <w:uiPriority w:val="99"/>
  </w:style>
  <w:style w:type="character" w:customStyle="1" w:styleId="105">
    <w:name w:val="active8"/>
    <w:qFormat/>
    <w:uiPriority w:val="99"/>
    <w:rPr>
      <w:color w:val="00FF00"/>
      <w:shd w:val="clear" w:color="auto" w:fill="000000"/>
    </w:rPr>
  </w:style>
  <w:style w:type="character" w:customStyle="1" w:styleId="106">
    <w:name w:val="grid2"/>
    <w:basedOn w:val="51"/>
    <w:qFormat/>
    <w:uiPriority w:val="99"/>
  </w:style>
  <w:style w:type="character" w:customStyle="1" w:styleId="107">
    <w:name w:val="bds_nopic2"/>
    <w:basedOn w:val="51"/>
    <w:qFormat/>
    <w:uiPriority w:val="99"/>
  </w:style>
  <w:style w:type="character" w:customStyle="1" w:styleId="108">
    <w:name w:val="grid"/>
    <w:basedOn w:val="51"/>
    <w:qFormat/>
    <w:uiPriority w:val="99"/>
  </w:style>
  <w:style w:type="character" w:customStyle="1" w:styleId="109">
    <w:name w:val="bds_more7"/>
    <w:basedOn w:val="51"/>
    <w:qFormat/>
    <w:uiPriority w:val="99"/>
  </w:style>
  <w:style w:type="paragraph" w:customStyle="1" w:styleId="110">
    <w:name w:val="纯文本1"/>
    <w:basedOn w:val="1"/>
    <w:qFormat/>
    <w:uiPriority w:val="99"/>
    <w:pPr>
      <w:adjustRightInd w:val="0"/>
      <w:textAlignment w:val="baseline"/>
    </w:pPr>
    <w:rPr>
      <w:rFonts w:ascii="宋体" w:hAnsi="Courier New" w:cs="宋体"/>
    </w:rPr>
  </w:style>
  <w:style w:type="paragraph" w:customStyle="1" w:styleId="111">
    <w:name w:val="Char"/>
    <w:basedOn w:val="1"/>
    <w:qFormat/>
    <w:uiPriority w:val="99"/>
    <w:pPr>
      <w:widowControl/>
      <w:spacing w:after="160" w:line="240" w:lineRule="exact"/>
      <w:jc w:val="left"/>
    </w:pPr>
    <w:rPr>
      <w:rFonts w:ascii="Verdana" w:hAnsi="Verdana" w:eastAsia="宋体" w:cs="Verdana"/>
      <w:kern w:val="0"/>
      <w:sz w:val="21"/>
      <w:szCs w:val="21"/>
      <w:lang w:eastAsia="en-US"/>
    </w:rPr>
  </w:style>
  <w:style w:type="paragraph" w:customStyle="1" w:styleId="112">
    <w:name w:val="Char1"/>
    <w:basedOn w:val="1"/>
    <w:qFormat/>
    <w:uiPriority w:val="99"/>
    <w:rPr>
      <w:rFonts w:ascii="Tahoma" w:hAnsi="Tahoma" w:eastAsia="宋体" w:cs="Tahoma"/>
      <w:sz w:val="24"/>
      <w:szCs w:val="24"/>
    </w:rPr>
  </w:style>
  <w:style w:type="paragraph" w:customStyle="1" w:styleId="113">
    <w:name w:val="纯文本11"/>
    <w:basedOn w:val="1"/>
    <w:qFormat/>
    <w:uiPriority w:val="99"/>
    <w:pPr>
      <w:adjustRightInd w:val="0"/>
      <w:textAlignment w:val="baseline"/>
    </w:pPr>
    <w:rPr>
      <w:rFonts w:ascii="宋体" w:hAnsi="Courier New" w:cs="宋体"/>
      <w:sz w:val="28"/>
      <w:szCs w:val="28"/>
    </w:rPr>
  </w:style>
  <w:style w:type="paragraph" w:customStyle="1" w:styleId="114">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styleId="115">
    <w:name w:val="List Paragraph"/>
    <w:basedOn w:val="1"/>
    <w:qFormat/>
    <w:uiPriority w:val="99"/>
    <w:pPr>
      <w:ind w:firstLine="420" w:firstLineChars="200"/>
    </w:pPr>
    <w:rPr>
      <w:rFonts w:eastAsia="宋体"/>
      <w:sz w:val="21"/>
      <w:szCs w:val="21"/>
    </w:rPr>
  </w:style>
  <w:style w:type="paragraph" w:customStyle="1" w:styleId="116">
    <w:name w:val="Char Char1 Char Char Char Char"/>
    <w:basedOn w:val="17"/>
    <w:qFormat/>
    <w:uiPriority w:val="99"/>
    <w:pPr>
      <w:adjustRightInd w:val="0"/>
      <w:snapToGrid w:val="0"/>
      <w:spacing w:line="360" w:lineRule="auto"/>
    </w:pPr>
    <w:rPr>
      <w:rFonts w:ascii="Tahoma" w:hAnsi="Tahoma" w:eastAsia="宋体" w:cs="Tahoma"/>
      <w:sz w:val="24"/>
      <w:szCs w:val="24"/>
    </w:rPr>
  </w:style>
  <w:style w:type="paragraph" w:customStyle="1" w:styleId="117">
    <w:name w:val="图"/>
    <w:basedOn w:val="1"/>
    <w:qFormat/>
    <w:uiPriority w:val="99"/>
    <w:pPr>
      <w:keepNext/>
      <w:adjustRightInd w:val="0"/>
      <w:spacing w:before="60" w:after="60" w:line="300" w:lineRule="auto"/>
      <w:jc w:val="center"/>
      <w:textAlignment w:val="center"/>
    </w:pPr>
    <w:rPr>
      <w:rFonts w:eastAsia="宋体"/>
      <w:spacing w:val="20"/>
      <w:kern w:val="0"/>
      <w:sz w:val="24"/>
      <w:szCs w:val="24"/>
    </w:rPr>
  </w:style>
  <w:style w:type="table" w:customStyle="1" w:styleId="118">
    <w:name w:val="网格型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9">
    <w:name w:val="表格文字"/>
    <w:basedOn w:val="20"/>
    <w:qFormat/>
    <w:uiPriority w:val="0"/>
    <w:pPr>
      <w:tabs>
        <w:tab w:val="left" w:pos="8640"/>
      </w:tabs>
      <w:ind w:left="0"/>
    </w:pPr>
  </w:style>
  <w:style w:type="paragraph" w:customStyle="1" w:styleId="120">
    <w:name w:val="首行缩进"/>
    <w:basedOn w:val="1"/>
    <w:qFormat/>
    <w:uiPriority w:val="99"/>
    <w:pPr>
      <w:spacing w:line="360" w:lineRule="auto"/>
      <w:ind w:firstLine="480" w:firstLineChars="200"/>
    </w:pPr>
    <w:rPr>
      <w:sz w:val="24"/>
      <w:lang w:val="zh-CN"/>
    </w:rPr>
  </w:style>
  <w:style w:type="paragraph" w:customStyle="1" w:styleId="121">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22">
    <w:name w:val="hover6"/>
    <w:basedOn w:val="51"/>
    <w:uiPriority w:val="0"/>
    <w:rPr>
      <w:color w:val="FF7B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textRotate="1"/>
    <customShpInfo spid="_x0000_s1026"/>
    <customShpInfo spid="_x0000_s1027"/>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5376C-3030-4C2F-944F-F80C0D44A7BD}">
  <ds:schemaRefs/>
</ds:datastoreItem>
</file>

<file path=docProps/app.xml><?xml version="1.0" encoding="utf-8"?>
<Properties xmlns="http://schemas.openxmlformats.org/officeDocument/2006/extended-properties" xmlns:vt="http://schemas.openxmlformats.org/officeDocument/2006/docPropsVTypes">
  <Template>Normal</Template>
  <Company>南京国衡南通分公司</Company>
  <Pages>32</Pages>
  <Words>18565</Words>
  <Characters>18918</Characters>
  <Lines>159</Lines>
  <Paragraphs>44</Paragraphs>
  <TotalTime>10</TotalTime>
  <ScaleCrop>false</ScaleCrop>
  <LinksUpToDate>false</LinksUpToDate>
  <CharactersWithSpaces>19714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2020-09-18T01:21:00Z</dcterms:created>
  <dc:creator>国衡南通</dc:creator>
  <cp:lastModifiedBy>WY</cp:lastModifiedBy>
  <cp:lastPrinted>2022-05-09T02:36:00Z</cp:lastPrinted>
  <dcterms:modified xsi:type="dcterms:W3CDTF">2022-05-09T09:38:32Z</dcterms:modified>
  <dc:title>崇川区政府采购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4D0C4243ED824FA3A8BF3F50091A7A52</vt:lpwstr>
  </property>
</Properties>
</file>