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overflowPunct w:val="0"/>
        <w:adjustRightInd/>
        <w:textAlignment w:val="auto"/>
        <w:rPr>
          <w:rFonts w:ascii="仿宋_GB2312" w:hAnsi="宋体" w:eastAsia="仿宋_GB2312" w:cs="Times New Roman"/>
          <w:color w:val="auto"/>
        </w:rPr>
      </w:pPr>
    </w:p>
    <w:p>
      <w:pPr>
        <w:overflowPunct w:val="0"/>
        <w:rPr>
          <w:rFonts w:ascii="仿宋_GB2312" w:hAnsi="宋体" w:eastAsia="仿宋_GB2312"/>
          <w:color w:val="auto"/>
        </w:rPr>
      </w:pPr>
    </w:p>
    <w:p>
      <w:pPr>
        <w:tabs>
          <w:tab w:val="left" w:pos="6300"/>
        </w:tabs>
        <w:snapToGrid w:val="0"/>
        <w:spacing w:line="300" w:lineRule="auto"/>
        <w:jc w:val="center"/>
        <w:rPr>
          <w:rFonts w:ascii="宋体" w:hAnsi="宋体" w:eastAsia="宋体"/>
          <w:color w:val="auto"/>
          <w:w w:val="80"/>
          <w:sz w:val="36"/>
          <w:szCs w:val="36"/>
        </w:rPr>
      </w:pPr>
    </w:p>
    <w:p>
      <w:pPr>
        <w:pStyle w:val="2"/>
        <w:spacing w:before="120"/>
        <w:ind w:firstLine="600"/>
        <w:rPr>
          <w:rFonts w:cs="Times New Roman"/>
          <w:color w:val="auto"/>
        </w:rPr>
      </w:pPr>
    </w:p>
    <w:p>
      <w:pPr>
        <w:tabs>
          <w:tab w:val="left" w:pos="6300"/>
        </w:tabs>
        <w:snapToGrid w:val="0"/>
        <w:spacing w:line="300" w:lineRule="auto"/>
        <w:jc w:val="center"/>
        <w:rPr>
          <w:rFonts w:ascii="方正大标宋简体" w:hAnsi="方正大标宋简体" w:eastAsia="方正大标宋简体"/>
          <w:color w:val="auto"/>
          <w:w w:val="80"/>
          <w:sz w:val="56"/>
          <w:szCs w:val="56"/>
        </w:rPr>
      </w:pPr>
      <w:r>
        <w:rPr>
          <w:rFonts w:hint="eastAsia" w:ascii="方正大标宋简体" w:hAnsi="方正大标宋简体" w:eastAsia="方正大标宋简体" w:cs="方正小标宋_GBK"/>
          <w:color w:val="auto"/>
          <w:w w:val="80"/>
          <w:sz w:val="56"/>
          <w:szCs w:val="56"/>
        </w:rPr>
        <w:t>南通市老干部党性教育陈列展示馆</w:t>
      </w:r>
    </w:p>
    <w:p>
      <w:pPr>
        <w:tabs>
          <w:tab w:val="left" w:pos="6300"/>
        </w:tabs>
        <w:snapToGrid w:val="0"/>
        <w:spacing w:line="300" w:lineRule="auto"/>
        <w:jc w:val="center"/>
        <w:rPr>
          <w:rFonts w:ascii="方正大标宋简体" w:hAnsi="方正大标宋简体" w:eastAsia="方正大标宋简体"/>
          <w:color w:val="auto"/>
          <w:w w:val="80"/>
          <w:sz w:val="56"/>
          <w:szCs w:val="56"/>
        </w:rPr>
      </w:pPr>
      <w:r>
        <w:rPr>
          <w:rFonts w:hint="eastAsia" w:ascii="方正大标宋简体" w:hAnsi="方正大标宋简体" w:eastAsia="方正大标宋简体" w:cs="方正小标宋_GBK"/>
          <w:color w:val="auto"/>
          <w:w w:val="80"/>
          <w:sz w:val="56"/>
          <w:szCs w:val="56"/>
        </w:rPr>
        <w:t>设计施工项目</w:t>
      </w:r>
    </w:p>
    <w:p>
      <w:pPr>
        <w:tabs>
          <w:tab w:val="left" w:pos="6300"/>
        </w:tabs>
        <w:snapToGrid w:val="0"/>
        <w:spacing w:line="300" w:lineRule="auto"/>
        <w:rPr>
          <w:rFonts w:ascii="Arial" w:hAnsi="Arial" w:eastAsia="黑体"/>
          <w:color w:val="auto"/>
          <w:w w:val="80"/>
          <w:sz w:val="84"/>
          <w:szCs w:val="84"/>
        </w:rPr>
      </w:pPr>
    </w:p>
    <w:p>
      <w:pPr>
        <w:tabs>
          <w:tab w:val="left" w:pos="1050"/>
          <w:tab w:val="right" w:leader="dot" w:pos="9402"/>
        </w:tabs>
        <w:spacing w:line="1600" w:lineRule="exact"/>
        <w:jc w:val="center"/>
        <w:rPr>
          <w:rFonts w:ascii="方正小标宋简体" w:hAnsi="Calibri" w:eastAsia="方正小标宋简体"/>
          <w:color w:val="auto"/>
          <w:sz w:val="72"/>
          <w:szCs w:val="72"/>
        </w:rPr>
      </w:pPr>
      <w:r>
        <w:rPr>
          <w:rFonts w:hint="eastAsia" w:ascii="方正小标宋简体" w:hAnsi="宋体" w:eastAsia="方正小标宋简体" w:cs="方正小标宋简体"/>
          <w:color w:val="auto"/>
          <w:w w:val="80"/>
          <w:sz w:val="72"/>
          <w:szCs w:val="72"/>
        </w:rPr>
        <w:t>竞争性磋商文件</w:t>
      </w:r>
    </w:p>
    <w:p>
      <w:pPr>
        <w:jc w:val="center"/>
        <w:rPr>
          <w:rFonts w:ascii="仿宋_GB2312" w:hAnsi="Calibri" w:eastAsia="仿宋_GB2312"/>
          <w:b/>
          <w:bCs/>
          <w:color w:val="auto"/>
          <w:sz w:val="44"/>
          <w:szCs w:val="44"/>
        </w:rPr>
      </w:pPr>
    </w:p>
    <w:p>
      <w:pPr>
        <w:tabs>
          <w:tab w:val="left" w:pos="1050"/>
          <w:tab w:val="right" w:leader="dot" w:pos="9402"/>
        </w:tabs>
        <w:spacing w:line="520" w:lineRule="exact"/>
        <w:jc w:val="center"/>
        <w:rPr>
          <w:rFonts w:ascii="仿宋_GB2312" w:eastAsia="仿宋_GB2312"/>
          <w:color w:val="auto"/>
          <w:w w:val="80"/>
          <w:sz w:val="44"/>
          <w:szCs w:val="44"/>
        </w:rPr>
      </w:pPr>
      <w:r>
        <w:rPr>
          <w:rFonts w:hint="eastAsia" w:ascii="宋体" w:hAnsi="宋体" w:eastAsia="宋体" w:cs="宋体"/>
          <w:color w:val="auto"/>
          <w:w w:val="80"/>
          <w:sz w:val="44"/>
          <w:szCs w:val="44"/>
        </w:rPr>
        <w:t>（资格后审）</w:t>
      </w:r>
    </w:p>
    <w:p>
      <w:pPr>
        <w:jc w:val="center"/>
        <w:rPr>
          <w:rFonts w:ascii="仿宋_GB2312" w:hAnsi="Calibri" w:eastAsia="仿宋_GB2312"/>
          <w:b/>
          <w:bCs/>
          <w:color w:val="auto"/>
          <w:sz w:val="44"/>
          <w:szCs w:val="44"/>
        </w:rPr>
      </w:pPr>
    </w:p>
    <w:p>
      <w:pPr>
        <w:jc w:val="center"/>
        <w:rPr>
          <w:rFonts w:ascii="仿宋_GB2312" w:hAnsi="Calibri" w:eastAsia="仿宋_GB2312"/>
          <w:b/>
          <w:bCs/>
          <w:color w:val="auto"/>
          <w:sz w:val="44"/>
          <w:szCs w:val="44"/>
        </w:rPr>
      </w:pPr>
    </w:p>
    <w:p>
      <w:pPr>
        <w:snapToGrid w:val="0"/>
        <w:spacing w:line="360" w:lineRule="auto"/>
        <w:rPr>
          <w:rFonts w:ascii="Arial" w:hAnsi="Arial" w:eastAsia="黑体"/>
          <w:b/>
          <w:bCs/>
          <w:color w:val="auto"/>
          <w:sz w:val="36"/>
          <w:szCs w:val="36"/>
        </w:rPr>
      </w:pPr>
    </w:p>
    <w:p>
      <w:pPr>
        <w:snapToGrid w:val="0"/>
        <w:spacing w:line="360" w:lineRule="auto"/>
        <w:jc w:val="center"/>
        <w:rPr>
          <w:rFonts w:ascii="宋体" w:hAnsi="宋体" w:eastAsia="宋体"/>
          <w:color w:val="auto"/>
          <w:kern w:val="0"/>
          <w:sz w:val="32"/>
          <w:szCs w:val="32"/>
        </w:rPr>
      </w:pPr>
    </w:p>
    <w:p>
      <w:pPr>
        <w:pStyle w:val="2"/>
        <w:spacing w:before="120"/>
        <w:ind w:firstLine="600"/>
        <w:rPr>
          <w:rFonts w:cs="Times New Roman"/>
          <w:color w:val="auto"/>
        </w:rPr>
      </w:pPr>
    </w:p>
    <w:p>
      <w:pPr>
        <w:snapToGrid w:val="0"/>
        <w:spacing w:line="360" w:lineRule="auto"/>
        <w:ind w:firstLine="640" w:firstLineChars="200"/>
        <w:rPr>
          <w:rFonts w:ascii="方正楷体_GBK" w:hAnsi="宋体" w:eastAsia="方正楷体_GBK"/>
          <w:color w:val="auto"/>
          <w:kern w:val="0"/>
          <w:sz w:val="32"/>
          <w:szCs w:val="32"/>
        </w:rPr>
      </w:pPr>
      <w:r>
        <w:rPr>
          <w:rFonts w:hint="eastAsia" w:ascii="方正楷体_GBK" w:hAnsi="宋体" w:eastAsia="方正楷体_GBK" w:cs="方正楷体_GBK"/>
          <w:color w:val="auto"/>
          <w:kern w:val="0"/>
          <w:sz w:val="32"/>
          <w:szCs w:val="32"/>
        </w:rPr>
        <w:t>招标人：南通市老干部活动中心</w:t>
      </w:r>
    </w:p>
    <w:p>
      <w:pPr>
        <w:snapToGrid w:val="0"/>
        <w:spacing w:line="360" w:lineRule="auto"/>
        <w:ind w:firstLine="640" w:firstLineChars="200"/>
        <w:rPr>
          <w:rFonts w:ascii="方正楷体_GBK" w:hAnsi="宋体" w:eastAsia="方正楷体_GBK"/>
          <w:color w:val="auto"/>
          <w:kern w:val="0"/>
          <w:sz w:val="32"/>
          <w:szCs w:val="32"/>
        </w:rPr>
      </w:pPr>
      <w:r>
        <w:rPr>
          <w:rFonts w:hint="eastAsia" w:ascii="方正楷体_GBK" w:hAnsi="宋体" w:eastAsia="方正楷体_GBK" w:cs="方正楷体_GBK"/>
          <w:color w:val="auto"/>
          <w:kern w:val="0"/>
          <w:sz w:val="32"/>
          <w:szCs w:val="32"/>
        </w:rPr>
        <w:t>采购代理机构：江苏东方华星工程造价咨询有限公司</w:t>
      </w:r>
    </w:p>
    <w:p>
      <w:pPr>
        <w:snapToGrid w:val="0"/>
        <w:spacing w:line="360" w:lineRule="auto"/>
        <w:jc w:val="center"/>
        <w:rPr>
          <w:rFonts w:ascii="方正楷体_GBK" w:hAnsi="宋体" w:eastAsia="方正楷体_GBK"/>
          <w:color w:val="auto"/>
          <w:kern w:val="0"/>
          <w:sz w:val="32"/>
          <w:szCs w:val="32"/>
        </w:rPr>
      </w:pPr>
      <w:r>
        <w:rPr>
          <w:rFonts w:hint="eastAsia" w:ascii="方正楷体_GBK" w:hAnsi="宋体" w:eastAsia="方正楷体_GBK" w:cs="方正楷体_GBK"/>
          <w:color w:val="auto"/>
          <w:kern w:val="0"/>
          <w:sz w:val="32"/>
          <w:szCs w:val="32"/>
        </w:rPr>
        <w:t>二</w:t>
      </w:r>
      <w:r>
        <w:rPr>
          <w:rFonts w:hint="eastAsia" w:ascii="仿宋" w:hAnsi="仿宋" w:eastAsia="仿宋" w:cs="仿宋"/>
          <w:color w:val="auto"/>
          <w:sz w:val="30"/>
          <w:szCs w:val="30"/>
        </w:rPr>
        <w:t>〇</w:t>
      </w:r>
      <w:r>
        <w:rPr>
          <w:rFonts w:hint="eastAsia" w:ascii="方正楷体_GBK" w:hAnsi="宋体" w:eastAsia="方正楷体_GBK" w:cs="方正楷体_GBK"/>
          <w:color w:val="auto"/>
          <w:kern w:val="0"/>
          <w:sz w:val="32"/>
          <w:szCs w:val="32"/>
        </w:rPr>
        <w:t>二一年</w:t>
      </w:r>
      <w:r>
        <w:rPr>
          <w:rFonts w:hint="eastAsia" w:ascii="方正楷体_GBK" w:hAnsi="宋体" w:eastAsia="方正楷体_GBK" w:cs="方正楷体_GBK"/>
          <w:color w:val="auto"/>
          <w:kern w:val="0"/>
          <w:sz w:val="32"/>
          <w:szCs w:val="32"/>
          <w:lang w:val="en-US" w:eastAsia="zh-CN"/>
        </w:rPr>
        <w:t>九</w:t>
      </w:r>
      <w:r>
        <w:rPr>
          <w:rFonts w:hint="eastAsia" w:ascii="方正楷体_GBK" w:hAnsi="宋体" w:eastAsia="方正楷体_GBK" w:cs="方正楷体_GBK"/>
          <w:color w:val="auto"/>
          <w:kern w:val="0"/>
          <w:sz w:val="32"/>
          <w:szCs w:val="32"/>
        </w:rPr>
        <w:t>月</w:t>
      </w:r>
      <w:r>
        <w:rPr>
          <w:rFonts w:hint="eastAsia" w:ascii="方正楷体_GBK" w:hAnsi="宋体" w:eastAsia="方正楷体_GBK" w:cs="方正楷体_GBK"/>
          <w:color w:val="auto"/>
          <w:kern w:val="0"/>
          <w:sz w:val="32"/>
          <w:szCs w:val="32"/>
          <w:lang w:val="en-US" w:eastAsia="zh-CN"/>
        </w:rPr>
        <w:t>二十六</w:t>
      </w:r>
      <w:r>
        <w:rPr>
          <w:rFonts w:hint="eastAsia" w:ascii="方正楷体_GBK" w:hAnsi="宋体" w:eastAsia="方正楷体_GBK" w:cs="方正楷体_GBK"/>
          <w:color w:val="auto"/>
          <w:kern w:val="0"/>
          <w:sz w:val="32"/>
          <w:szCs w:val="32"/>
        </w:rPr>
        <w:t>日</w:t>
      </w:r>
    </w:p>
    <w:p>
      <w:pPr>
        <w:snapToGrid w:val="0"/>
        <w:spacing w:line="360" w:lineRule="auto"/>
        <w:jc w:val="center"/>
        <w:rPr>
          <w:rFonts w:ascii="方正楷体_GBK" w:hAnsi="宋体" w:eastAsia="方正楷体_GBK"/>
          <w:color w:val="auto"/>
          <w:kern w:val="0"/>
          <w:sz w:val="32"/>
          <w:szCs w:val="32"/>
        </w:rPr>
      </w:pPr>
      <w:r>
        <w:rPr>
          <w:color w:val="auto"/>
        </w:rPr>
        <w:pict>
          <v:shape id="_x0000_s1027" o:spid="_x0000_s1027" o:spt="202" type="#_x0000_t202" style="position:absolute;left:0pt;margin-left:203.6pt;margin-top:734pt;height:38pt;width:63.75pt;z-index:251659264;mso-width-relative:page;mso-height-relative:page;" stroked="f" coordsize="21600,21600">
            <v:path/>
            <v:fill focussize="0,0"/>
            <v:stroke on="f" joinstyle="miter"/>
            <v:imagedata o:title=""/>
            <o:lock v:ext="edit"/>
            <v:textbox>
              <w:txbxContent>
                <w:p/>
              </w:txbxContent>
            </v:textbox>
          </v:shape>
        </w:pict>
      </w:r>
    </w:p>
    <w:p>
      <w:pPr>
        <w:tabs>
          <w:tab w:val="left" w:pos="1050"/>
          <w:tab w:val="right" w:leader="dot" w:pos="9402"/>
        </w:tabs>
        <w:spacing w:line="520" w:lineRule="exact"/>
        <w:jc w:val="center"/>
        <w:rPr>
          <w:color w:val="auto"/>
        </w:rPr>
      </w:pPr>
    </w:p>
    <w:p>
      <w:pPr>
        <w:tabs>
          <w:tab w:val="left" w:pos="1050"/>
          <w:tab w:val="right" w:leader="dot" w:pos="9402"/>
        </w:tabs>
        <w:spacing w:line="520" w:lineRule="exact"/>
        <w:jc w:val="center"/>
        <w:outlineLvl w:val="0"/>
        <w:rPr>
          <w:rFonts w:ascii="宋体" w:hAnsi="宋体" w:eastAsia="宋体"/>
          <w:b/>
          <w:bCs/>
          <w:color w:val="auto"/>
          <w:w w:val="80"/>
          <w:sz w:val="44"/>
          <w:szCs w:val="44"/>
        </w:rPr>
      </w:pPr>
    </w:p>
    <w:p>
      <w:pPr>
        <w:tabs>
          <w:tab w:val="left" w:pos="1050"/>
          <w:tab w:val="right" w:leader="dot" w:pos="9402"/>
        </w:tabs>
        <w:spacing w:line="520" w:lineRule="exact"/>
        <w:jc w:val="center"/>
        <w:outlineLvl w:val="0"/>
        <w:rPr>
          <w:rFonts w:ascii="宋体" w:hAnsi="宋体" w:eastAsia="宋体"/>
          <w:b/>
          <w:bCs/>
          <w:color w:val="auto"/>
          <w:w w:val="80"/>
          <w:sz w:val="44"/>
          <w:szCs w:val="44"/>
        </w:rPr>
      </w:pPr>
      <w:r>
        <w:rPr>
          <w:rFonts w:hint="eastAsia" w:ascii="宋体" w:hAnsi="宋体" w:eastAsia="宋体" w:cs="宋体"/>
          <w:b/>
          <w:bCs/>
          <w:color w:val="auto"/>
          <w:w w:val="80"/>
          <w:sz w:val="44"/>
          <w:szCs w:val="44"/>
        </w:rPr>
        <w:t>目</w:t>
      </w:r>
      <w:r>
        <w:rPr>
          <w:rFonts w:hint="eastAsia" w:ascii="宋体" w:hAnsi="宋体" w:eastAsia="宋体" w:cs="宋体"/>
          <w:b/>
          <w:bCs/>
          <w:color w:val="auto"/>
          <w:w w:val="80"/>
          <w:sz w:val="44"/>
          <w:szCs w:val="44"/>
          <w:lang w:val="en-US" w:eastAsia="zh-CN"/>
        </w:rPr>
        <w:t xml:space="preserve">  </w:t>
      </w:r>
      <w:r>
        <w:rPr>
          <w:rFonts w:hint="eastAsia" w:ascii="宋体" w:hAnsi="宋体" w:eastAsia="宋体" w:cs="宋体"/>
          <w:b/>
          <w:bCs/>
          <w:color w:val="auto"/>
          <w:w w:val="80"/>
          <w:sz w:val="44"/>
          <w:szCs w:val="44"/>
        </w:rPr>
        <w:t>录</w:t>
      </w:r>
    </w:p>
    <w:p>
      <w:pPr>
        <w:pStyle w:val="9"/>
        <w:tabs>
          <w:tab w:val="left" w:pos="5990"/>
        </w:tabs>
        <w:overflowPunct w:val="0"/>
        <w:ind w:firstLine="0"/>
        <w:rPr>
          <w:rFonts w:ascii="仿宋_GB2312" w:hAnsi="宋体" w:eastAsia="仿宋_GB2312"/>
          <w:color w:val="auto"/>
          <w:sz w:val="30"/>
          <w:szCs w:val="30"/>
        </w:rPr>
      </w:pPr>
      <w:r>
        <w:rPr>
          <w:rFonts w:ascii="仿宋_GB2312" w:hAnsi="宋体" w:eastAsia="仿宋_GB2312"/>
          <w:color w:val="auto"/>
          <w:sz w:val="30"/>
          <w:szCs w:val="30"/>
        </w:rPr>
        <w:tab/>
      </w:r>
    </w:p>
    <w:p>
      <w:pPr>
        <w:pStyle w:val="32"/>
        <w:tabs>
          <w:tab w:val="right" w:leader="dot" w:pos="9072"/>
        </w:tabs>
        <w:spacing w:line="1200" w:lineRule="exact"/>
        <w:ind w:right="-2"/>
        <w:jc w:val="center"/>
        <w:rPr>
          <w:rFonts w:ascii="宋体" w:hAnsi="宋体" w:eastAsia="宋体"/>
          <w:color w:val="auto"/>
          <w:sz w:val="30"/>
          <w:szCs w:val="30"/>
        </w:rPr>
      </w:pPr>
      <w:r>
        <w:rPr>
          <w:rFonts w:eastAsia="仿宋_GB2312"/>
          <w:b/>
          <w:bCs/>
          <w:color w:val="auto"/>
          <w:sz w:val="30"/>
          <w:szCs w:val="30"/>
        </w:rPr>
        <w:fldChar w:fldCharType="begin"/>
      </w:r>
      <w:r>
        <w:rPr>
          <w:rFonts w:eastAsia="仿宋_GB2312"/>
          <w:b/>
          <w:bCs/>
          <w:color w:val="auto"/>
          <w:sz w:val="30"/>
          <w:szCs w:val="30"/>
        </w:rPr>
        <w:instrText xml:space="preserve"> TOC \o "1-1"</w:instrText>
      </w:r>
      <w:r>
        <w:rPr>
          <w:rFonts w:eastAsia="仿宋_GB2312"/>
          <w:b/>
          <w:bCs/>
          <w:color w:val="auto"/>
          <w:sz w:val="30"/>
          <w:szCs w:val="30"/>
        </w:rPr>
        <w:fldChar w:fldCharType="separate"/>
      </w:r>
      <w:r>
        <w:rPr>
          <w:rFonts w:hint="eastAsia" w:ascii="宋体" w:hAnsi="宋体" w:eastAsia="宋体" w:cs="宋体"/>
          <w:color w:val="auto"/>
          <w:sz w:val="30"/>
          <w:szCs w:val="30"/>
        </w:rPr>
        <w:t>第一章竞争性磋商公告</w:t>
      </w:r>
      <w:r>
        <w:rPr>
          <w:rFonts w:ascii="宋体" w:hAnsi="宋体" w:eastAsia="宋体"/>
          <w:color w:val="auto"/>
          <w:sz w:val="30"/>
          <w:szCs w:val="30"/>
        </w:rPr>
        <w:tab/>
      </w:r>
      <w:r>
        <w:rPr>
          <w:rFonts w:ascii="宋体" w:hAnsi="宋体" w:eastAsia="宋体" w:cs="宋体"/>
          <w:color w:val="auto"/>
          <w:sz w:val="30"/>
          <w:szCs w:val="30"/>
        </w:rPr>
        <w:t>1</w:t>
      </w:r>
    </w:p>
    <w:p>
      <w:pPr>
        <w:pStyle w:val="32"/>
        <w:tabs>
          <w:tab w:val="right" w:leader="dot" w:pos="9072"/>
        </w:tabs>
        <w:spacing w:line="1200" w:lineRule="exact"/>
        <w:ind w:right="-2"/>
        <w:jc w:val="center"/>
        <w:rPr>
          <w:rFonts w:hint="eastAsia" w:ascii="宋体" w:hAnsi="宋体" w:eastAsia="宋体"/>
          <w:color w:val="auto"/>
          <w:sz w:val="30"/>
          <w:szCs w:val="30"/>
          <w:lang w:eastAsia="zh-CN"/>
        </w:rPr>
      </w:pPr>
      <w:r>
        <w:rPr>
          <w:rFonts w:hint="eastAsia" w:ascii="宋体" w:hAnsi="宋体" w:eastAsia="宋体" w:cs="宋体"/>
          <w:color w:val="auto"/>
          <w:sz w:val="30"/>
          <w:szCs w:val="30"/>
        </w:rPr>
        <w:t>第二章供应商须知</w:t>
      </w:r>
      <w:r>
        <w:rPr>
          <w:rFonts w:ascii="宋体" w:hAnsi="宋体" w:eastAsia="宋体"/>
          <w:color w:val="auto"/>
          <w:sz w:val="30"/>
          <w:szCs w:val="30"/>
        </w:rPr>
        <w:tab/>
      </w:r>
      <w:r>
        <w:rPr>
          <w:rFonts w:hint="eastAsia" w:ascii="宋体" w:hAnsi="宋体" w:eastAsia="宋体" w:cs="宋体"/>
          <w:color w:val="auto"/>
          <w:sz w:val="30"/>
          <w:szCs w:val="30"/>
          <w:lang w:val="en-US" w:eastAsia="zh-CN"/>
        </w:rPr>
        <w:t>5</w:t>
      </w:r>
    </w:p>
    <w:p>
      <w:pPr>
        <w:pStyle w:val="32"/>
        <w:tabs>
          <w:tab w:val="right" w:leader="dot" w:pos="9072"/>
        </w:tabs>
        <w:spacing w:line="1200" w:lineRule="exact"/>
        <w:ind w:right="-2"/>
        <w:jc w:val="center"/>
        <w:rPr>
          <w:rFonts w:hint="default" w:ascii="宋体" w:hAnsi="宋体" w:eastAsia="宋体"/>
          <w:color w:val="auto"/>
          <w:sz w:val="30"/>
          <w:szCs w:val="30"/>
          <w:lang w:val="en-US" w:eastAsia="zh-CN"/>
        </w:rPr>
      </w:pPr>
      <w:r>
        <w:rPr>
          <w:rFonts w:hint="eastAsia" w:ascii="宋体" w:hAnsi="宋体" w:eastAsia="宋体" w:cs="宋体"/>
          <w:color w:val="auto"/>
          <w:sz w:val="30"/>
          <w:szCs w:val="30"/>
        </w:rPr>
        <w:t>第三章项目需求</w:t>
      </w:r>
      <w:r>
        <w:rPr>
          <w:rFonts w:ascii="宋体" w:hAnsi="宋体" w:eastAsia="宋体"/>
          <w:color w:val="auto"/>
          <w:sz w:val="30"/>
          <w:szCs w:val="30"/>
        </w:rPr>
        <w:tab/>
      </w:r>
      <w:r>
        <w:rPr>
          <w:rFonts w:hint="eastAsia" w:ascii="宋体" w:hAnsi="宋体" w:eastAsia="宋体" w:cs="宋体"/>
          <w:color w:val="auto"/>
          <w:sz w:val="30"/>
          <w:szCs w:val="30"/>
          <w:lang w:val="en-US" w:eastAsia="zh-CN"/>
        </w:rPr>
        <w:t>10</w:t>
      </w:r>
    </w:p>
    <w:p>
      <w:pPr>
        <w:pStyle w:val="32"/>
        <w:tabs>
          <w:tab w:val="right" w:leader="dot" w:pos="9072"/>
        </w:tabs>
        <w:spacing w:line="1200" w:lineRule="exact"/>
        <w:ind w:right="-2"/>
        <w:jc w:val="center"/>
        <w:rPr>
          <w:rFonts w:hint="eastAsia" w:ascii="宋体" w:hAnsi="宋体" w:eastAsia="宋体"/>
          <w:color w:val="auto"/>
          <w:sz w:val="30"/>
          <w:szCs w:val="30"/>
          <w:lang w:eastAsia="zh-CN"/>
        </w:rPr>
      </w:pPr>
      <w:r>
        <w:rPr>
          <w:rFonts w:hint="eastAsia" w:ascii="宋体" w:hAnsi="宋体" w:eastAsia="宋体" w:cs="宋体"/>
          <w:color w:val="auto"/>
          <w:sz w:val="30"/>
          <w:szCs w:val="30"/>
        </w:rPr>
        <w:t>第四章评审程序和方法</w:t>
      </w:r>
      <w:r>
        <w:rPr>
          <w:rFonts w:ascii="宋体" w:hAnsi="宋体" w:eastAsia="宋体"/>
          <w:color w:val="auto"/>
          <w:sz w:val="30"/>
          <w:szCs w:val="30"/>
        </w:rPr>
        <w:tab/>
      </w:r>
      <w:r>
        <w:rPr>
          <w:rFonts w:ascii="宋体" w:hAnsi="宋体" w:eastAsia="宋体" w:cs="宋体"/>
          <w:color w:val="auto"/>
          <w:sz w:val="30"/>
          <w:szCs w:val="30"/>
        </w:rPr>
        <w:t>1</w:t>
      </w:r>
      <w:r>
        <w:rPr>
          <w:rFonts w:hint="eastAsia" w:ascii="宋体" w:hAnsi="宋体" w:eastAsia="宋体" w:cs="宋体"/>
          <w:color w:val="auto"/>
          <w:sz w:val="30"/>
          <w:szCs w:val="30"/>
          <w:lang w:val="en-US" w:eastAsia="zh-CN"/>
        </w:rPr>
        <w:t>3</w:t>
      </w:r>
    </w:p>
    <w:p>
      <w:pPr>
        <w:pStyle w:val="32"/>
        <w:tabs>
          <w:tab w:val="right" w:leader="dot" w:pos="9072"/>
        </w:tabs>
        <w:spacing w:line="1200" w:lineRule="exact"/>
        <w:ind w:right="-2"/>
        <w:jc w:val="center"/>
        <w:rPr>
          <w:rFonts w:hint="eastAsia" w:ascii="宋体" w:hAnsi="宋体" w:eastAsia="宋体"/>
          <w:color w:val="auto"/>
          <w:sz w:val="30"/>
          <w:szCs w:val="30"/>
          <w:lang w:eastAsia="zh-CN"/>
        </w:rPr>
      </w:pPr>
      <w:r>
        <w:rPr>
          <w:rFonts w:hint="eastAsia" w:ascii="宋体" w:hAnsi="宋体" w:eastAsia="宋体" w:cs="宋体"/>
          <w:color w:val="auto"/>
          <w:sz w:val="30"/>
          <w:szCs w:val="30"/>
        </w:rPr>
        <w:t>第五章合同授予及主要条款</w:t>
      </w:r>
      <w:r>
        <w:rPr>
          <w:rFonts w:ascii="宋体" w:hAnsi="宋体" w:eastAsia="宋体"/>
          <w:color w:val="auto"/>
          <w:sz w:val="30"/>
          <w:szCs w:val="30"/>
        </w:rPr>
        <w:tab/>
      </w:r>
      <w:r>
        <w:rPr>
          <w:rFonts w:ascii="宋体" w:hAnsi="宋体" w:eastAsia="宋体" w:cs="宋体"/>
          <w:color w:val="auto"/>
          <w:sz w:val="30"/>
          <w:szCs w:val="30"/>
        </w:rPr>
        <w:t>2</w:t>
      </w:r>
      <w:r>
        <w:rPr>
          <w:rFonts w:hint="eastAsia" w:ascii="宋体" w:hAnsi="宋体" w:eastAsia="宋体" w:cs="宋体"/>
          <w:color w:val="auto"/>
          <w:sz w:val="30"/>
          <w:szCs w:val="30"/>
          <w:lang w:val="en-US" w:eastAsia="zh-CN"/>
        </w:rPr>
        <w:t>1</w:t>
      </w:r>
    </w:p>
    <w:p>
      <w:pPr>
        <w:pStyle w:val="32"/>
        <w:tabs>
          <w:tab w:val="right" w:leader="dot" w:pos="9072"/>
        </w:tabs>
        <w:spacing w:line="1200" w:lineRule="exact"/>
        <w:ind w:right="-2"/>
        <w:jc w:val="center"/>
        <w:rPr>
          <w:rFonts w:hint="eastAsia" w:ascii="宋体" w:hAnsi="宋体" w:eastAsia="宋体"/>
          <w:color w:val="auto"/>
          <w:sz w:val="30"/>
          <w:szCs w:val="30"/>
          <w:lang w:eastAsia="zh-CN"/>
        </w:rPr>
      </w:pPr>
      <w:r>
        <w:rPr>
          <w:rFonts w:hint="eastAsia" w:ascii="宋体" w:hAnsi="宋体" w:eastAsia="宋体" w:cs="宋体"/>
          <w:color w:val="auto"/>
          <w:sz w:val="30"/>
          <w:szCs w:val="30"/>
        </w:rPr>
        <w:t>第六章履约验收及付款</w:t>
      </w:r>
      <w:r>
        <w:rPr>
          <w:rFonts w:ascii="宋体" w:hAnsi="宋体" w:eastAsia="宋体"/>
          <w:color w:val="auto"/>
          <w:sz w:val="30"/>
          <w:szCs w:val="30"/>
        </w:rPr>
        <w:tab/>
      </w:r>
      <w:r>
        <w:rPr>
          <w:rFonts w:ascii="宋体" w:hAnsi="宋体" w:eastAsia="宋体" w:cs="宋体"/>
          <w:color w:val="auto"/>
          <w:sz w:val="30"/>
          <w:szCs w:val="30"/>
        </w:rPr>
        <w:t>2</w:t>
      </w:r>
      <w:r>
        <w:rPr>
          <w:rFonts w:hint="eastAsia" w:ascii="宋体" w:hAnsi="宋体" w:eastAsia="宋体" w:cs="宋体"/>
          <w:color w:val="auto"/>
          <w:sz w:val="30"/>
          <w:szCs w:val="30"/>
          <w:lang w:val="en-US" w:eastAsia="zh-CN"/>
        </w:rPr>
        <w:t>2</w:t>
      </w:r>
    </w:p>
    <w:p>
      <w:pPr>
        <w:pStyle w:val="32"/>
        <w:tabs>
          <w:tab w:val="right" w:leader="dot" w:pos="9072"/>
        </w:tabs>
        <w:spacing w:line="1200" w:lineRule="exact"/>
        <w:ind w:right="-2"/>
        <w:jc w:val="center"/>
        <w:rPr>
          <w:rFonts w:hint="eastAsia" w:ascii="宋体" w:hAnsi="宋体" w:eastAsia="宋体"/>
          <w:color w:val="auto"/>
          <w:sz w:val="30"/>
          <w:szCs w:val="30"/>
          <w:lang w:eastAsia="zh-CN"/>
        </w:rPr>
      </w:pPr>
      <w:r>
        <w:rPr>
          <w:rFonts w:hint="eastAsia" w:ascii="宋体" w:hAnsi="宋体" w:eastAsia="宋体" w:cs="宋体"/>
          <w:color w:val="auto"/>
          <w:sz w:val="30"/>
          <w:szCs w:val="30"/>
        </w:rPr>
        <w:t>第七章质疑与投诉</w:t>
      </w:r>
      <w:r>
        <w:rPr>
          <w:rFonts w:ascii="宋体" w:hAnsi="宋体" w:eastAsia="宋体"/>
          <w:color w:val="auto"/>
          <w:sz w:val="30"/>
          <w:szCs w:val="30"/>
        </w:rPr>
        <w:tab/>
      </w:r>
      <w:r>
        <w:rPr>
          <w:rFonts w:ascii="宋体" w:hAnsi="宋体" w:eastAsia="宋体" w:cs="宋体"/>
          <w:color w:val="auto"/>
          <w:sz w:val="30"/>
          <w:szCs w:val="30"/>
        </w:rPr>
        <w:t>2</w:t>
      </w:r>
      <w:r>
        <w:rPr>
          <w:rFonts w:hint="eastAsia" w:ascii="宋体" w:hAnsi="宋体" w:eastAsia="宋体" w:cs="宋体"/>
          <w:color w:val="auto"/>
          <w:sz w:val="30"/>
          <w:szCs w:val="30"/>
          <w:lang w:val="en-US" w:eastAsia="zh-CN"/>
        </w:rPr>
        <w:t>2</w:t>
      </w:r>
    </w:p>
    <w:p>
      <w:pPr>
        <w:pStyle w:val="32"/>
        <w:tabs>
          <w:tab w:val="right" w:leader="dot" w:pos="9072"/>
        </w:tabs>
        <w:spacing w:line="1200" w:lineRule="exact"/>
        <w:ind w:right="-2"/>
        <w:jc w:val="center"/>
        <w:rPr>
          <w:rFonts w:hint="eastAsia" w:ascii="宋体" w:hAnsi="宋体" w:eastAsia="宋体"/>
          <w:color w:val="auto"/>
          <w:sz w:val="30"/>
          <w:szCs w:val="30"/>
          <w:lang w:eastAsia="zh-CN"/>
        </w:rPr>
      </w:pPr>
      <w:r>
        <w:rPr>
          <w:rFonts w:hint="eastAsia" w:ascii="宋体" w:hAnsi="宋体" w:eastAsia="宋体" w:cs="宋体"/>
          <w:color w:val="auto"/>
          <w:sz w:val="30"/>
          <w:szCs w:val="30"/>
        </w:rPr>
        <w:t>第八章磋商响应文件的组成及格式</w:t>
      </w:r>
      <w:r>
        <w:rPr>
          <w:rFonts w:ascii="宋体" w:hAnsi="宋体" w:eastAsia="宋体"/>
          <w:color w:val="auto"/>
          <w:sz w:val="30"/>
          <w:szCs w:val="30"/>
        </w:rPr>
        <w:tab/>
      </w:r>
      <w:r>
        <w:rPr>
          <w:rFonts w:ascii="宋体" w:hAnsi="宋体" w:eastAsia="宋体" w:cs="宋体"/>
          <w:color w:val="auto"/>
          <w:sz w:val="30"/>
          <w:szCs w:val="30"/>
        </w:rPr>
        <w:t>2</w:t>
      </w:r>
      <w:r>
        <w:rPr>
          <w:rFonts w:hint="eastAsia" w:ascii="宋体" w:hAnsi="宋体" w:eastAsia="宋体" w:cs="宋体"/>
          <w:color w:val="auto"/>
          <w:sz w:val="30"/>
          <w:szCs w:val="30"/>
          <w:lang w:val="en-US" w:eastAsia="zh-CN"/>
        </w:rPr>
        <w:t>4</w:t>
      </w:r>
    </w:p>
    <w:p>
      <w:pPr>
        <w:tabs>
          <w:tab w:val="right" w:leader="dot" w:pos="9072"/>
        </w:tabs>
        <w:spacing w:line="1200" w:lineRule="exact"/>
        <w:ind w:right="-2"/>
        <w:jc w:val="center"/>
        <w:rPr>
          <w:color w:val="auto"/>
          <w:sz w:val="30"/>
          <w:szCs w:val="30"/>
        </w:rPr>
      </w:pPr>
    </w:p>
    <w:p>
      <w:pPr>
        <w:pStyle w:val="9"/>
        <w:tabs>
          <w:tab w:val="right" w:leader="dot" w:pos="9072"/>
        </w:tabs>
        <w:overflowPunct w:val="0"/>
        <w:spacing w:line="1200" w:lineRule="exact"/>
        <w:ind w:right="-2" w:firstLine="0"/>
        <w:jc w:val="center"/>
        <w:rPr>
          <w:rFonts w:eastAsia="仿宋_GB2312"/>
          <w:b/>
          <w:bCs/>
          <w:color w:val="auto"/>
          <w:sz w:val="30"/>
          <w:szCs w:val="30"/>
        </w:rPr>
        <w:sectPr>
          <w:footerReference r:id="rId4" w:type="first"/>
          <w:footerReference r:id="rId3" w:type="default"/>
          <w:pgSz w:w="11906" w:h="16838"/>
          <w:pgMar w:top="1276" w:right="1474" w:bottom="709" w:left="1418" w:header="851" w:footer="448" w:gutter="0"/>
          <w:pgNumType w:start="1"/>
          <w:cols w:space="720" w:num="1"/>
          <w:titlePg/>
          <w:docGrid w:linePitch="380" w:charSpace="-5735"/>
        </w:sectPr>
      </w:pPr>
      <w:r>
        <w:rPr>
          <w:color w:val="auto"/>
        </w:rPr>
        <w:pict>
          <v:shape id="_x0000_s1030" o:spid="_x0000_s1030" o:spt="202" type="#_x0000_t202" style="position:absolute;left:0pt;margin-left:206.6pt;margin-top:681pt;height:28.5pt;width:46.5pt;z-index:251660288;mso-width-relative:page;mso-height-relative:page;" stroked="f" coordsize="21600,21600">
            <v:path/>
            <v:fill focussize="0,0"/>
            <v:stroke on="f" joinstyle="miter"/>
            <v:imagedata o:title=""/>
            <o:lock v:ext="edit"/>
            <v:textbox>
              <w:txbxContent>
                <w:p/>
              </w:txbxContent>
            </v:textbox>
          </v:shape>
        </w:pict>
      </w:r>
      <w:r>
        <w:rPr>
          <w:rFonts w:eastAsia="仿宋_GB2312"/>
          <w:b/>
          <w:bCs/>
          <w:color w:val="auto"/>
          <w:sz w:val="30"/>
          <w:szCs w:val="30"/>
        </w:rPr>
        <w:fldChar w:fldCharType="end"/>
      </w:r>
    </w:p>
    <w:p>
      <w:pPr>
        <w:snapToGrid w:val="0"/>
        <w:spacing w:line="360" w:lineRule="exact"/>
        <w:rPr>
          <w:rFonts w:ascii="宋体" w:hAnsi="宋体" w:eastAsia="宋体"/>
          <w:color w:val="auto"/>
          <w:sz w:val="24"/>
          <w:szCs w:val="24"/>
        </w:rPr>
      </w:pPr>
      <w:r>
        <w:rPr>
          <w:rFonts w:hint="eastAsia" w:ascii="宋体" w:hAnsi="宋体" w:eastAsia="宋体" w:cs="宋体"/>
          <w:color w:val="auto"/>
          <w:sz w:val="24"/>
          <w:szCs w:val="24"/>
        </w:rPr>
        <w:t>尊敬的投标供应商（以下称供应商）：</w:t>
      </w:r>
    </w:p>
    <w:p>
      <w:pPr>
        <w:snapToGrid w:val="0"/>
        <w:spacing w:line="36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欢迎参加本采购项目的竞争性磋商。为了保证本项目磋商顺利进行，请在制作磋商响应文件之前，仔细阅读本竞争性磋商文件的各项条款，并按要求制作和递交磋商响应文件。谢谢合作！</w:t>
      </w:r>
    </w:p>
    <w:p>
      <w:pPr>
        <w:tabs>
          <w:tab w:val="left" w:pos="1050"/>
          <w:tab w:val="right" w:leader="dot" w:pos="9402"/>
        </w:tabs>
        <w:spacing w:line="600" w:lineRule="exact"/>
        <w:jc w:val="center"/>
        <w:outlineLvl w:val="0"/>
        <w:rPr>
          <w:rFonts w:ascii="宋体" w:hAnsi="宋体" w:eastAsia="宋体"/>
          <w:b/>
          <w:bCs/>
          <w:color w:val="auto"/>
          <w:w w:val="80"/>
          <w:sz w:val="36"/>
          <w:szCs w:val="36"/>
        </w:rPr>
      </w:pPr>
      <w:bookmarkStart w:id="0" w:name="_Toc363573853"/>
      <w:r>
        <w:rPr>
          <w:rFonts w:hint="eastAsia" w:ascii="宋体" w:hAnsi="宋体" w:eastAsia="宋体" w:cs="宋体"/>
          <w:b/>
          <w:bCs/>
          <w:color w:val="auto"/>
          <w:w w:val="80"/>
          <w:sz w:val="36"/>
          <w:szCs w:val="36"/>
        </w:rPr>
        <w:t>第一章</w:t>
      </w:r>
      <w:bookmarkEnd w:id="0"/>
      <w:r>
        <w:rPr>
          <w:rFonts w:hint="eastAsia" w:ascii="宋体" w:hAnsi="宋体" w:eastAsia="宋体" w:cs="宋体"/>
          <w:b/>
          <w:bCs/>
          <w:color w:val="auto"/>
          <w:w w:val="80"/>
          <w:sz w:val="36"/>
          <w:szCs w:val="36"/>
          <w:lang w:val="en-US" w:eastAsia="zh-CN"/>
        </w:rPr>
        <w:t xml:space="preserve">  </w:t>
      </w:r>
      <w:r>
        <w:rPr>
          <w:rFonts w:hint="eastAsia" w:ascii="宋体" w:hAnsi="宋体" w:eastAsia="宋体" w:cs="宋体"/>
          <w:b/>
          <w:bCs/>
          <w:color w:val="auto"/>
          <w:w w:val="80"/>
          <w:sz w:val="36"/>
          <w:szCs w:val="36"/>
        </w:rPr>
        <w:t>竞争性磋商公告</w:t>
      </w:r>
    </w:p>
    <w:p>
      <w:pPr>
        <w:snapToGrid w:val="0"/>
        <w:spacing w:line="420" w:lineRule="exact"/>
        <w:ind w:left="-3" w:leftChars="-1" w:firstLine="429"/>
        <w:rPr>
          <w:rFonts w:ascii="宋体" w:hAnsi="宋体" w:eastAsia="宋体" w:cs="宋体"/>
          <w:color w:val="auto"/>
          <w:sz w:val="24"/>
          <w:szCs w:val="24"/>
        </w:rPr>
      </w:pPr>
      <w:bookmarkStart w:id="1" w:name="_Hlk528075726"/>
      <w:bookmarkStart w:id="2" w:name="_Hlk524431833"/>
      <w:bookmarkStart w:id="3" w:name="_Hlk531620465"/>
      <w:r>
        <w:rPr>
          <w:rFonts w:hint="eastAsia" w:ascii="宋体" w:hAnsi="宋体" w:eastAsia="宋体" w:cs="宋体"/>
          <w:color w:val="auto"/>
          <w:sz w:val="24"/>
          <w:szCs w:val="24"/>
          <w:u w:val="single"/>
        </w:rPr>
        <w:t>江苏东方华星工程造价咨询管理有限公司</w:t>
      </w:r>
      <w:r>
        <w:rPr>
          <w:rFonts w:hint="eastAsia" w:ascii="宋体" w:hAnsi="宋体" w:eastAsia="宋体" w:cs="宋体"/>
          <w:color w:val="auto"/>
          <w:sz w:val="24"/>
          <w:szCs w:val="24"/>
        </w:rPr>
        <w:t>（以下称采购代理机构）受</w:t>
      </w:r>
      <w:r>
        <w:rPr>
          <w:rFonts w:hint="eastAsia" w:ascii="宋体" w:hAnsi="宋体" w:eastAsia="宋体" w:cs="宋体"/>
          <w:color w:val="auto"/>
          <w:sz w:val="24"/>
          <w:szCs w:val="24"/>
          <w:u w:val="single"/>
        </w:rPr>
        <w:t>南通市老干部活动中心</w:t>
      </w:r>
      <w:r>
        <w:rPr>
          <w:rFonts w:hint="eastAsia" w:ascii="宋体" w:hAnsi="宋体" w:eastAsia="宋体" w:cs="宋体"/>
          <w:color w:val="auto"/>
          <w:sz w:val="24"/>
          <w:szCs w:val="24"/>
        </w:rPr>
        <w:t xml:space="preserve">（以下称采购人）的委托，就南通市老干部党性教育陈列展示馆设计施工项目组织竞争性磋商采购，诚邀符合条件的供应商参加该项目的磋商响应。 </w:t>
      </w:r>
    </w:p>
    <w:p>
      <w:pPr>
        <w:spacing w:line="420" w:lineRule="exact"/>
        <w:ind w:firstLine="482" w:firstLineChars="200"/>
        <w:outlineLvl w:val="1"/>
        <w:rPr>
          <w:rFonts w:hint="eastAsia" w:ascii="宋体" w:hAnsi="宋体" w:eastAsia="宋体"/>
          <w:color w:val="auto"/>
          <w:sz w:val="24"/>
          <w:szCs w:val="24"/>
          <w:lang w:eastAsia="zh-CN"/>
        </w:rPr>
      </w:pPr>
      <w:r>
        <w:rPr>
          <w:rFonts w:hint="eastAsia" w:ascii="宋体" w:hAnsi="宋体" w:eastAsia="宋体" w:cs="宋体"/>
          <w:b/>
          <w:bCs/>
          <w:color w:val="auto"/>
          <w:sz w:val="24"/>
          <w:szCs w:val="24"/>
        </w:rPr>
        <w:t>一、项目名称</w:t>
      </w:r>
      <w:r>
        <w:rPr>
          <w:rFonts w:hint="eastAsia" w:ascii="宋体" w:hAnsi="宋体" w:eastAsia="宋体" w:cs="宋体"/>
          <w:color w:val="auto"/>
          <w:sz w:val="24"/>
          <w:szCs w:val="24"/>
        </w:rPr>
        <w:t>：南通市老干部党性教育陈列展示馆设计施工项目</w:t>
      </w:r>
      <w:r>
        <w:rPr>
          <w:rFonts w:hint="eastAsia" w:ascii="宋体" w:hAnsi="宋体" w:eastAsia="宋体" w:cs="宋体"/>
          <w:color w:val="auto"/>
          <w:sz w:val="24"/>
          <w:szCs w:val="24"/>
          <w:lang w:eastAsia="zh-CN"/>
        </w:rPr>
        <w:t>。</w:t>
      </w:r>
    </w:p>
    <w:p>
      <w:pPr>
        <w:spacing w:line="420" w:lineRule="exact"/>
        <w:ind w:firstLine="482" w:firstLineChars="200"/>
        <w:outlineLvl w:val="1"/>
        <w:rPr>
          <w:rFonts w:hint="eastAsia" w:ascii="宋体" w:hAnsi="宋体" w:eastAsia="宋体"/>
          <w:color w:val="auto"/>
          <w:sz w:val="24"/>
          <w:szCs w:val="24"/>
          <w:lang w:eastAsia="zh-CN"/>
        </w:rPr>
      </w:pPr>
      <w:r>
        <w:rPr>
          <w:rFonts w:hint="eastAsia" w:ascii="宋体" w:hAnsi="宋体" w:eastAsia="宋体" w:cs="宋体"/>
          <w:b/>
          <w:bCs/>
          <w:color w:val="auto"/>
          <w:sz w:val="24"/>
          <w:szCs w:val="24"/>
        </w:rPr>
        <w:t>二、项目预算</w:t>
      </w: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0万元，投标价不得超过项目预算，超过为无效投标</w:t>
      </w:r>
      <w:r>
        <w:rPr>
          <w:rFonts w:hint="eastAsia" w:ascii="宋体" w:hAnsi="宋体" w:eastAsia="宋体" w:cs="宋体"/>
          <w:color w:val="auto"/>
          <w:sz w:val="24"/>
          <w:szCs w:val="24"/>
          <w:lang w:eastAsia="zh-CN"/>
        </w:rPr>
        <w:t>。</w:t>
      </w:r>
    </w:p>
    <w:p>
      <w:pPr>
        <w:spacing w:line="420" w:lineRule="exact"/>
        <w:ind w:firstLine="482" w:firstLineChars="200"/>
        <w:outlineLvl w:val="1"/>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三、项目需求</w:t>
      </w:r>
      <w:r>
        <w:rPr>
          <w:rFonts w:hint="eastAsia" w:ascii="宋体" w:hAnsi="宋体" w:eastAsia="宋体" w:cs="宋体"/>
          <w:color w:val="auto"/>
          <w:sz w:val="24"/>
          <w:szCs w:val="24"/>
        </w:rPr>
        <w:t>：具体见本磋商文件第三章</w:t>
      </w:r>
      <w:r>
        <w:rPr>
          <w:rFonts w:hint="eastAsia" w:ascii="宋体" w:hAnsi="宋体" w:eastAsia="宋体" w:cs="宋体"/>
          <w:color w:val="auto"/>
          <w:sz w:val="24"/>
          <w:szCs w:val="24"/>
          <w:lang w:eastAsia="zh-CN"/>
        </w:rPr>
        <w:t>。</w:t>
      </w:r>
    </w:p>
    <w:p>
      <w:pPr>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四、供应商资格</w:t>
      </w:r>
    </w:p>
    <w:p>
      <w:pPr>
        <w:spacing w:line="420" w:lineRule="exact"/>
        <w:ind w:firstLine="480" w:firstLineChars="200"/>
        <w:outlineLvl w:val="1"/>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20" w:lineRule="exact"/>
        <w:ind w:firstLine="480" w:firstLineChars="200"/>
        <w:outlineLvl w:val="1"/>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具有有效的营业执照，经营范围须包含展览展示设计安装。</w:t>
      </w:r>
    </w:p>
    <w:p>
      <w:pPr>
        <w:spacing w:line="420" w:lineRule="exact"/>
        <w:ind w:firstLine="480" w:firstLineChars="200"/>
        <w:outlineLvl w:val="1"/>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本项目不接受任何形式的联合体投标。</w:t>
      </w:r>
    </w:p>
    <w:p>
      <w:pPr>
        <w:spacing w:line="420" w:lineRule="exact"/>
        <w:ind w:firstLine="480" w:firstLineChars="200"/>
        <w:outlineLvl w:val="1"/>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单位负责人为同一人或者存在直接控股、管理关系的不同供应商，不得同时参与同一采购项目相同标段的政府采购活动。</w:t>
      </w:r>
    </w:p>
    <w:p>
      <w:pPr>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五、本公告发布网站：“南通市委老干部局网站”。凡涉及磋商文件的补充说明、澄清或修改，均以“南通市委老干部局网站”发布的信息为准。</w:t>
      </w:r>
    </w:p>
    <w:p>
      <w:pPr>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六、磋商文件的获取</w:t>
      </w:r>
    </w:p>
    <w:p>
      <w:pPr>
        <w:spacing w:line="420" w:lineRule="exact"/>
        <w:ind w:firstLine="480" w:firstLineChars="200"/>
        <w:outlineLvl w:val="1"/>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获取时间：公告发布至开标前。</w:t>
      </w:r>
    </w:p>
    <w:p>
      <w:pPr>
        <w:spacing w:line="420" w:lineRule="exact"/>
        <w:ind w:firstLine="480" w:firstLineChars="200"/>
        <w:outlineLvl w:val="1"/>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获取方式：凡有意参加投标者，请于公告发布至开标前于</w:t>
      </w:r>
      <w:r>
        <w:rPr>
          <w:rFonts w:hint="eastAsia" w:ascii="宋体" w:hAnsi="宋体" w:eastAsia="宋体" w:cs="宋体"/>
          <w:b/>
          <w:bCs/>
          <w:color w:val="auto"/>
          <w:sz w:val="24"/>
          <w:szCs w:val="24"/>
        </w:rPr>
        <w:t>“南通市委老干部局网站”</w:t>
      </w:r>
      <w:r>
        <w:rPr>
          <w:rFonts w:hint="eastAsia" w:ascii="宋体" w:hAnsi="宋体" w:eastAsia="宋体" w:cs="宋体"/>
          <w:color w:val="auto"/>
          <w:sz w:val="24"/>
          <w:szCs w:val="24"/>
        </w:rPr>
        <w:t>下载磋商文件。</w:t>
      </w:r>
    </w:p>
    <w:p>
      <w:pPr>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七、磋商响应文件的递交接收</w:t>
      </w:r>
    </w:p>
    <w:p>
      <w:pPr>
        <w:spacing w:line="420" w:lineRule="exact"/>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rPr>
        <w:t>1.截止时间为：2021年</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日上午9时30分。</w:t>
      </w:r>
    </w:p>
    <w:p>
      <w:pPr>
        <w:spacing w:line="420" w:lineRule="exact"/>
        <w:ind w:firstLine="480" w:firstLineChars="200"/>
        <w:outlineLvl w:val="1"/>
        <w:rPr>
          <w:rFonts w:hint="eastAsia" w:ascii="宋体" w:hAnsi="宋体" w:eastAsia="宋体" w:cs="宋体"/>
          <w:color w:val="auto"/>
          <w:sz w:val="24"/>
          <w:szCs w:val="24"/>
          <w:u w:val="none"/>
          <w:lang w:val="en-US"/>
        </w:rPr>
      </w:pPr>
      <w:r>
        <w:rPr>
          <w:rFonts w:hint="eastAsia" w:ascii="宋体" w:hAnsi="宋体" w:eastAsia="宋体" w:cs="宋体"/>
          <w:color w:val="auto"/>
          <w:sz w:val="24"/>
          <w:szCs w:val="24"/>
          <w:lang w:val="en-US" w:eastAsia="zh-CN"/>
        </w:rPr>
        <w:t>2.接收</w:t>
      </w:r>
      <w:r>
        <w:rPr>
          <w:rFonts w:hint="eastAsia" w:ascii="宋体" w:hAnsi="宋体" w:eastAsia="宋体" w:cs="宋体"/>
          <w:color w:val="auto"/>
          <w:sz w:val="24"/>
          <w:szCs w:val="24"/>
        </w:rPr>
        <w:t>地址：</w:t>
      </w:r>
      <w:r>
        <w:rPr>
          <w:rFonts w:hint="eastAsia" w:ascii="宋体" w:hAnsi="宋体" w:eastAsia="宋体" w:cs="宋体"/>
          <w:b w:val="0"/>
          <w:bCs w:val="0"/>
          <w:color w:val="auto"/>
          <w:sz w:val="24"/>
          <w:szCs w:val="24"/>
          <w:u w:val="none"/>
          <w:lang w:val="en-US" w:eastAsia="zh-CN"/>
        </w:rPr>
        <w:t>南通市行政中心综合楼7楼中共南通市委老干部局722会议室，</w:t>
      </w:r>
      <w:r>
        <w:rPr>
          <w:rFonts w:hint="eastAsia" w:ascii="宋体" w:hAnsi="宋体" w:eastAsia="宋体" w:cs="宋体"/>
          <w:color w:val="auto"/>
          <w:sz w:val="24"/>
          <w:szCs w:val="24"/>
          <w:u w:val="none"/>
        </w:rPr>
        <w:t>如有变动另行通知</w:t>
      </w:r>
      <w:r>
        <w:rPr>
          <w:rFonts w:hint="eastAsia" w:ascii="宋体" w:hAnsi="宋体" w:eastAsia="宋体" w:cs="宋体"/>
          <w:b w:val="0"/>
          <w:bCs w:val="0"/>
          <w:color w:val="auto"/>
          <w:sz w:val="24"/>
          <w:szCs w:val="24"/>
          <w:u w:val="none"/>
          <w:lang w:val="en-US" w:eastAsia="zh-CN"/>
        </w:rPr>
        <w:t>。</w:t>
      </w:r>
    </w:p>
    <w:p>
      <w:pPr>
        <w:spacing w:line="420" w:lineRule="exact"/>
        <w:ind w:firstLine="482" w:firstLineChars="200"/>
        <w:outlineLvl w:val="1"/>
        <w:rPr>
          <w:rFonts w:ascii="宋体" w:hAnsi="宋体" w:eastAsia="宋体"/>
          <w:color w:val="auto"/>
          <w:sz w:val="24"/>
          <w:szCs w:val="24"/>
        </w:rPr>
      </w:pPr>
      <w:r>
        <w:rPr>
          <w:rFonts w:hint="eastAsia" w:ascii="宋体" w:hAnsi="宋体" w:eastAsia="宋体" w:cs="宋体"/>
          <w:b/>
          <w:bCs/>
          <w:color w:val="auto"/>
          <w:sz w:val="24"/>
          <w:szCs w:val="24"/>
        </w:rPr>
        <w:t>八、评标办法：</w:t>
      </w:r>
      <w:r>
        <w:rPr>
          <w:rFonts w:hint="eastAsia" w:ascii="宋体" w:hAnsi="宋体" w:eastAsia="宋体" w:cs="宋体"/>
          <w:color w:val="auto"/>
          <w:sz w:val="24"/>
          <w:szCs w:val="24"/>
        </w:rPr>
        <w:t>综合评分法，详见磋商文件第四章。</w:t>
      </w:r>
    </w:p>
    <w:p>
      <w:pPr>
        <w:spacing w:line="420" w:lineRule="exact"/>
        <w:ind w:firstLine="482" w:firstLineChars="200"/>
        <w:outlineLvl w:val="1"/>
        <w:rPr>
          <w:rFonts w:ascii="宋体" w:hAnsi="宋体" w:eastAsia="宋体"/>
          <w:color w:val="auto"/>
          <w:sz w:val="24"/>
          <w:szCs w:val="24"/>
        </w:rPr>
      </w:pPr>
      <w:r>
        <w:rPr>
          <w:rFonts w:hint="eastAsia" w:ascii="宋体" w:hAnsi="宋体" w:eastAsia="宋体" w:cs="宋体"/>
          <w:b/>
          <w:bCs/>
          <w:color w:val="auto"/>
          <w:sz w:val="24"/>
          <w:szCs w:val="24"/>
        </w:rPr>
        <w:t>九、履约保证金</w:t>
      </w:r>
      <w:r>
        <w:rPr>
          <w:rFonts w:hint="eastAsia" w:ascii="宋体" w:hAnsi="宋体" w:eastAsia="宋体" w:cs="宋体"/>
          <w:color w:val="auto"/>
          <w:sz w:val="24"/>
          <w:szCs w:val="24"/>
        </w:rPr>
        <w:t>：本项目成交后的履约保证金为</w:t>
      </w:r>
      <w:r>
        <w:rPr>
          <w:rFonts w:hint="eastAsia" w:ascii="宋体" w:hAnsi="宋体" w:eastAsia="宋体" w:cs="宋体"/>
          <w:color w:val="auto"/>
          <w:sz w:val="24"/>
          <w:szCs w:val="24"/>
          <w:lang w:val="zh-CN"/>
        </w:rPr>
        <w:t>项目合同总价款的</w:t>
      </w:r>
      <w:r>
        <w:rPr>
          <w:rFonts w:ascii="宋体" w:hAnsi="宋体" w:eastAsia="宋体" w:cs="宋体"/>
          <w:color w:val="auto"/>
          <w:sz w:val="24"/>
          <w:szCs w:val="24"/>
          <w:u w:val="single"/>
        </w:rPr>
        <w:t>10</w:t>
      </w:r>
      <w:r>
        <w:rPr>
          <w:rFonts w:ascii="宋体" w:hAnsi="宋体" w:eastAsia="宋体" w:cs="宋体"/>
          <w:color w:val="auto"/>
          <w:sz w:val="24"/>
          <w:szCs w:val="24"/>
          <w:u w:val="single"/>
          <w:lang w:val="zh-CN"/>
        </w:rPr>
        <w:t xml:space="preserve">% </w:t>
      </w:r>
      <w:r>
        <w:rPr>
          <w:rFonts w:hint="eastAsia" w:ascii="宋体" w:hAnsi="宋体" w:eastAsia="宋体" w:cs="宋体"/>
          <w:color w:val="auto"/>
          <w:sz w:val="24"/>
          <w:szCs w:val="24"/>
        </w:rPr>
        <w:t>。</w:t>
      </w:r>
    </w:p>
    <w:p>
      <w:pPr>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十、磋商响应联系方式</w:t>
      </w:r>
      <w:bookmarkStart w:id="4" w:name="_Toc363573854"/>
    </w:p>
    <w:p>
      <w:pPr>
        <w:spacing w:line="420" w:lineRule="exact"/>
        <w:ind w:firstLine="480" w:firstLineChars="200"/>
        <w:outlineLvl w:val="1"/>
        <w:rPr>
          <w:rFonts w:hint="eastAsia" w:ascii="宋体" w:hAnsi="宋体" w:eastAsia="宋体" w:cs="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采购人</w:t>
      </w:r>
    </w:p>
    <w:p>
      <w:pPr>
        <w:spacing w:line="420" w:lineRule="exact"/>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rPr>
        <w:t>单位：南通市老干部活动中心</w:t>
      </w:r>
    </w:p>
    <w:p>
      <w:pPr>
        <w:spacing w:line="420" w:lineRule="exact"/>
        <w:ind w:firstLine="520" w:firstLineChars="200"/>
        <w:outlineLvl w:val="1"/>
        <w:rPr>
          <w:rFonts w:hint="eastAsia" w:ascii="宋体" w:hAnsi="宋体" w:eastAsia="宋体" w:cs="宋体"/>
          <w:color w:val="auto"/>
          <w:sz w:val="24"/>
          <w:szCs w:val="24"/>
          <w:u w:val="none"/>
        </w:rPr>
      </w:pPr>
      <w:r>
        <w:rPr>
          <w:rFonts w:hint="eastAsia" w:ascii="宋体" w:hAnsi="宋体" w:eastAsia="宋体"/>
          <w:color w:val="auto"/>
        </w:rPr>
        <w:t>地址</w:t>
      </w:r>
      <w:r>
        <w:rPr>
          <w:rFonts w:hint="eastAsia" w:ascii="宋体" w:hAnsi="宋体" w:eastAsia="宋体" w:cs="宋体"/>
          <w:color w:val="auto"/>
          <w:sz w:val="24"/>
          <w:szCs w:val="24"/>
          <w:u w:val="none"/>
        </w:rPr>
        <w:t>：</w:t>
      </w:r>
      <w:r>
        <w:rPr>
          <w:rFonts w:hint="eastAsia" w:ascii="宋体" w:hAnsi="宋体" w:eastAsia="宋体" w:cs="宋体"/>
          <w:b w:val="0"/>
          <w:bCs w:val="0"/>
          <w:color w:val="auto"/>
          <w:sz w:val="24"/>
          <w:szCs w:val="24"/>
          <w:u w:val="none"/>
          <w:lang w:val="en-US" w:eastAsia="zh-CN"/>
        </w:rPr>
        <w:t>南通市行政中心综合楼7楼中共南通市委老干部局722会议室</w:t>
      </w:r>
    </w:p>
    <w:p>
      <w:pPr>
        <w:spacing w:before="120" w:line="420" w:lineRule="exact"/>
        <w:ind w:firstLine="520" w:firstLineChars="200"/>
        <w:outlineLvl w:val="1"/>
        <w:rPr>
          <w:color w:val="auto"/>
        </w:rPr>
      </w:pPr>
    </w:p>
    <w:p>
      <w:pPr>
        <w:spacing w:line="420" w:lineRule="exact"/>
        <w:ind w:firstLine="480" w:firstLineChars="200"/>
        <w:outlineLvl w:val="1"/>
        <w:rPr>
          <w:rFonts w:ascii="宋体" w:hAnsi="宋体" w:eastAsia="宋体"/>
          <w:color w:val="auto"/>
          <w:sz w:val="24"/>
          <w:szCs w:val="24"/>
        </w:rPr>
      </w:pPr>
      <w:r>
        <w:rPr>
          <w:rFonts w:hint="eastAsia" w:ascii="宋体" w:hAnsi="宋体" w:eastAsia="宋体" w:cs="宋体"/>
          <w:color w:val="auto"/>
          <w:sz w:val="24"/>
          <w:szCs w:val="24"/>
        </w:rPr>
        <w:t>联系人：陈建军</w:t>
      </w:r>
    </w:p>
    <w:p>
      <w:pPr>
        <w:spacing w:line="420" w:lineRule="exact"/>
        <w:ind w:firstLine="480" w:firstLineChars="200"/>
        <w:outlineLvl w:val="1"/>
        <w:rPr>
          <w:rFonts w:ascii="宋体" w:hAnsi="宋体" w:eastAsia="宋体"/>
          <w:color w:val="auto"/>
          <w:sz w:val="24"/>
          <w:szCs w:val="24"/>
        </w:rPr>
      </w:pPr>
      <w:r>
        <w:rPr>
          <w:rFonts w:hint="eastAsia" w:ascii="宋体" w:hAnsi="宋体" w:eastAsia="宋体" w:cs="宋体"/>
          <w:color w:val="auto"/>
          <w:sz w:val="24"/>
          <w:szCs w:val="24"/>
        </w:rPr>
        <w:t>电话：</w:t>
      </w:r>
      <w:r>
        <w:rPr>
          <w:rFonts w:ascii="宋体" w:hAnsi="宋体" w:eastAsia="宋体" w:cs="宋体"/>
          <w:color w:val="auto"/>
          <w:sz w:val="24"/>
          <w:szCs w:val="24"/>
        </w:rPr>
        <w:t xml:space="preserve"> 15162775529</w:t>
      </w:r>
    </w:p>
    <w:p>
      <w:pPr>
        <w:spacing w:line="420" w:lineRule="exact"/>
        <w:ind w:firstLine="480" w:firstLineChars="200"/>
        <w:outlineLvl w:val="1"/>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采购代理机构</w:t>
      </w:r>
    </w:p>
    <w:p>
      <w:pPr>
        <w:spacing w:line="420" w:lineRule="exact"/>
        <w:ind w:firstLine="480" w:firstLineChars="200"/>
        <w:outlineLvl w:val="1"/>
        <w:rPr>
          <w:rFonts w:ascii="宋体" w:hAnsi="宋体" w:eastAsia="宋体"/>
          <w:color w:val="auto"/>
          <w:sz w:val="24"/>
          <w:szCs w:val="24"/>
        </w:rPr>
      </w:pPr>
      <w:r>
        <w:rPr>
          <w:rFonts w:hint="eastAsia" w:ascii="宋体" w:hAnsi="宋体" w:eastAsia="宋体" w:cs="宋体"/>
          <w:color w:val="auto"/>
          <w:sz w:val="24"/>
          <w:szCs w:val="24"/>
        </w:rPr>
        <w:t>单位：江苏东方华星工程造价咨询管理有限公司</w:t>
      </w:r>
    </w:p>
    <w:p>
      <w:pPr>
        <w:spacing w:line="420" w:lineRule="exact"/>
        <w:ind w:firstLine="480" w:firstLineChars="200"/>
        <w:outlineLvl w:val="1"/>
        <w:rPr>
          <w:rFonts w:ascii="宋体" w:hAnsi="宋体" w:eastAsia="宋体"/>
          <w:color w:val="auto"/>
          <w:sz w:val="24"/>
          <w:szCs w:val="24"/>
        </w:rPr>
      </w:pPr>
      <w:r>
        <w:rPr>
          <w:rFonts w:hint="eastAsia" w:ascii="宋体" w:hAnsi="宋体" w:eastAsia="宋体" w:cs="宋体"/>
          <w:color w:val="auto"/>
          <w:sz w:val="24"/>
          <w:szCs w:val="24"/>
        </w:rPr>
        <w:t>地址：南通市万科壹中心1908室</w:t>
      </w:r>
      <w:bookmarkEnd w:id="1"/>
      <w:bookmarkEnd w:id="2"/>
    </w:p>
    <w:p>
      <w:pPr>
        <w:spacing w:line="420" w:lineRule="exact"/>
        <w:ind w:firstLine="480" w:firstLineChars="200"/>
        <w:outlineLvl w:val="1"/>
        <w:rPr>
          <w:rFonts w:ascii="宋体" w:hAnsi="宋体" w:eastAsia="宋体"/>
          <w:color w:val="auto"/>
          <w:sz w:val="24"/>
          <w:szCs w:val="24"/>
        </w:rPr>
      </w:pPr>
      <w:r>
        <w:rPr>
          <w:rFonts w:hint="eastAsia" w:ascii="宋体" w:hAnsi="宋体" w:eastAsia="宋体" w:cs="宋体"/>
          <w:color w:val="auto"/>
          <w:sz w:val="24"/>
          <w:szCs w:val="24"/>
        </w:rPr>
        <w:t>联系人：崔</w:t>
      </w:r>
      <w:r>
        <w:rPr>
          <w:rFonts w:hint="eastAsia" w:ascii="宋体" w:hAnsi="宋体" w:eastAsia="宋体" w:cs="宋体"/>
          <w:color w:val="auto"/>
          <w:sz w:val="24"/>
          <w:szCs w:val="24"/>
          <w:lang w:val="en-US" w:eastAsia="zh-CN"/>
        </w:rPr>
        <w:t>永振</w:t>
      </w:r>
      <w:r>
        <w:rPr>
          <w:rFonts w:hint="eastAsia" w:ascii="宋体" w:hAnsi="宋体" w:eastAsia="宋体" w:cs="宋体"/>
          <w:color w:val="auto"/>
          <w:sz w:val="24"/>
          <w:szCs w:val="24"/>
        </w:rPr>
        <w:t>、沈</w:t>
      </w:r>
      <w:r>
        <w:rPr>
          <w:rFonts w:hint="eastAsia" w:ascii="宋体" w:hAnsi="宋体" w:eastAsia="宋体" w:cs="宋体"/>
          <w:color w:val="auto"/>
          <w:sz w:val="24"/>
          <w:szCs w:val="24"/>
          <w:lang w:val="en-US" w:eastAsia="zh-CN"/>
        </w:rPr>
        <w:t>伟</w:t>
      </w:r>
    </w:p>
    <w:p>
      <w:pPr>
        <w:spacing w:line="420" w:lineRule="exact"/>
        <w:ind w:firstLine="480" w:firstLineChars="200"/>
        <w:outlineLvl w:val="1"/>
        <w:rPr>
          <w:rFonts w:ascii="宋体" w:hAnsi="宋体" w:eastAsia="宋体"/>
          <w:color w:val="auto"/>
          <w:sz w:val="24"/>
          <w:szCs w:val="24"/>
        </w:rPr>
      </w:pPr>
      <w:r>
        <w:rPr>
          <w:rFonts w:hint="eastAsia" w:ascii="宋体" w:hAnsi="宋体" w:eastAsia="宋体" w:cs="宋体"/>
          <w:color w:val="auto"/>
          <w:sz w:val="24"/>
          <w:szCs w:val="24"/>
        </w:rPr>
        <w:t>联系电话：18106295192、18551302589</w:t>
      </w:r>
    </w:p>
    <w:p>
      <w:pPr>
        <w:spacing w:line="420" w:lineRule="exact"/>
        <w:ind w:firstLine="480" w:firstLineChars="200"/>
        <w:outlineLvl w:val="1"/>
        <w:rPr>
          <w:rFonts w:eastAsia="仿宋_GB2312"/>
          <w:color w:val="auto"/>
          <w:sz w:val="24"/>
          <w:szCs w:val="24"/>
        </w:rPr>
      </w:pPr>
      <w:r>
        <w:rPr>
          <w:rFonts w:hint="eastAsia" w:ascii="宋体" w:hAnsi="宋体" w:eastAsia="宋体" w:cs="宋体"/>
          <w:color w:val="auto"/>
          <w:sz w:val="24"/>
          <w:szCs w:val="24"/>
        </w:rPr>
        <w:t>邮箱：dfhxnt@126.com</w:t>
      </w:r>
    </w:p>
    <w:bookmarkEnd w:id="3"/>
    <w:p>
      <w:pPr>
        <w:rPr>
          <w:color w:val="auto"/>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spacing w:line="500" w:lineRule="exact"/>
        <w:jc w:val="center"/>
        <w:rPr>
          <w:rFonts w:hint="eastAsia" w:ascii="方正小标宋简体" w:hAnsi="黑体" w:eastAsia="方正小标宋简体"/>
          <w:color w:val="auto"/>
          <w:sz w:val="32"/>
          <w:szCs w:val="32"/>
        </w:rPr>
      </w:pPr>
    </w:p>
    <w:p>
      <w:pPr>
        <w:pStyle w:val="2"/>
        <w:spacing w:before="120"/>
        <w:ind w:firstLine="0" w:firstLineChars="0"/>
        <w:rPr>
          <w:rFonts w:hint="eastAsia" w:eastAsia="楷体_GB2312" w:cs="Times New Roman"/>
          <w:color w:val="auto"/>
          <w:lang w:val="en-US" w:eastAsia="zh-CN"/>
        </w:r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r>
        <w:rPr>
          <w:rFonts w:hint="eastAsia" w:ascii="宋体" w:hAnsi="宋体" w:eastAsia="宋体" w:cs="宋体"/>
          <w:b/>
          <w:bCs/>
          <w:color w:val="auto"/>
          <w:w w:val="80"/>
          <w:sz w:val="36"/>
          <w:szCs w:val="36"/>
        </w:rPr>
        <w:t>第二章</w:t>
      </w:r>
      <w:r>
        <w:rPr>
          <w:rFonts w:hint="eastAsia" w:ascii="宋体" w:hAnsi="宋体" w:eastAsia="宋体" w:cs="宋体"/>
          <w:b/>
          <w:bCs/>
          <w:color w:val="auto"/>
          <w:w w:val="80"/>
          <w:sz w:val="36"/>
          <w:szCs w:val="36"/>
          <w:lang w:val="en-US" w:eastAsia="zh-CN"/>
        </w:rPr>
        <w:t xml:space="preserve">  </w:t>
      </w:r>
      <w:r>
        <w:rPr>
          <w:rFonts w:hint="eastAsia" w:ascii="宋体" w:hAnsi="宋体" w:eastAsia="宋体" w:cs="宋体"/>
          <w:b/>
          <w:bCs/>
          <w:color w:val="auto"/>
          <w:w w:val="80"/>
          <w:sz w:val="36"/>
          <w:szCs w:val="36"/>
        </w:rPr>
        <w:t>供应商须知</w:t>
      </w:r>
      <w:bookmarkEnd w:id="4"/>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一、说明</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本磋商文件仅适用于本代理机构组织的招标采购活动。</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招标采购活动及因本次招标产生的合同受中国法律制约和保护。</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磋商文件的解释权属于</w:t>
      </w:r>
      <w:r>
        <w:rPr>
          <w:rFonts w:hint="eastAsia" w:ascii="宋体" w:hAnsi="宋体" w:eastAsia="宋体" w:cs="宋体"/>
          <w:color w:val="auto"/>
          <w:sz w:val="24"/>
          <w:szCs w:val="24"/>
          <w:lang w:val="en-US" w:eastAsia="zh-CN"/>
        </w:rPr>
        <w:t>采购代理机构</w:t>
      </w:r>
      <w:r>
        <w:rPr>
          <w:rFonts w:hint="eastAsia" w:ascii="宋体" w:hAnsi="宋体" w:eastAsia="宋体" w:cs="宋体"/>
          <w:color w:val="auto"/>
          <w:sz w:val="24"/>
          <w:szCs w:val="24"/>
        </w:rPr>
        <w:t>。</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供应商在知道或应当知道本项目磋商公告及磋商文件中的所有内容：如内容或页码短缺、资格要求和技术参数出现倾向性或排他性等表述的，应在本项目磋商公告及磋商文件发布后提出询问或是在发布之日后的</w:t>
      </w:r>
      <w:r>
        <w:rPr>
          <w:rFonts w:ascii="宋体" w:hAnsi="宋体" w:eastAsia="宋体" w:cs="宋体"/>
          <w:color w:val="auto"/>
          <w:sz w:val="24"/>
          <w:szCs w:val="24"/>
        </w:rPr>
        <w:t>3</w:t>
      </w:r>
      <w:r>
        <w:rPr>
          <w:rFonts w:hint="eastAsia" w:ascii="宋体" w:hAnsi="宋体" w:eastAsia="宋体" w:cs="宋体"/>
          <w:color w:val="auto"/>
          <w:sz w:val="24"/>
          <w:szCs w:val="24"/>
        </w:rPr>
        <w:t>个工作日内以书面实名制形式提出质疑；未提出询问或是未在规定期间内提出的视作供应商接受本项目磋商公告及磋商文件中的全部内容；供应商不得在招标活动期间及招标结束后针对本项目磋商公告及磋商文件中的所有内容提出质疑事项。</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供应商应认真审阅本磋商文件中的所有事项、格式、条款和规范要求等，如果供应商没有按照磋商文件要求提交磋商响应文件，或者磋商响应文件没有对磋商文件做出实质性响应，有可能被拒绝参与磋商。</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6.</w:t>
      </w:r>
      <w:r>
        <w:rPr>
          <w:rFonts w:hint="eastAsia" w:ascii="宋体" w:hAnsi="宋体" w:eastAsia="宋体" w:cs="宋体"/>
          <w:color w:val="auto"/>
          <w:sz w:val="24"/>
          <w:szCs w:val="24"/>
        </w:rPr>
        <w:t>磋商文件项目需求提供的可能涉及到的工艺、材料、设备、商标、样本、技术规范、参数规格、品牌等，仅作为说明并没有限制性，供应商在磋商响应中可以选用替代标准，但这些替代标准要优于项目需求技术规格中要求的标准，以满足采购人的需要。</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二、磋商文件的补充说明、澄清、修改、答疑</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采购代理机构有权对发出的磋商文件进行必要的补充说明、澄清或修改。</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凡涉及磋商文件的补充说明、澄清或修改，均以采购代理机构在</w:t>
      </w:r>
      <w:r>
        <w:rPr>
          <w:rFonts w:hint="eastAsia" w:ascii="宋体" w:hAnsi="宋体" w:eastAsia="宋体" w:cs="宋体"/>
          <w:b/>
          <w:bCs/>
          <w:color w:val="auto"/>
          <w:sz w:val="24"/>
          <w:szCs w:val="24"/>
        </w:rPr>
        <w:t>“南通市委老干部局网站</w:t>
      </w:r>
      <w:r>
        <w:rPr>
          <w:rFonts w:hint="eastAsia" w:ascii="宋体" w:hAnsi="宋体" w:eastAsia="宋体" w:cs="宋体"/>
          <w:b/>
          <w:bCs/>
          <w:color w:val="auto"/>
          <w:kern w:val="0"/>
          <w:sz w:val="24"/>
          <w:szCs w:val="24"/>
        </w:rPr>
        <w:t>”</w:t>
      </w:r>
      <w:r>
        <w:rPr>
          <w:rFonts w:hint="eastAsia" w:ascii="宋体" w:hAnsi="宋体" w:eastAsia="宋体" w:cs="宋体"/>
          <w:color w:val="auto"/>
          <w:sz w:val="24"/>
          <w:szCs w:val="24"/>
        </w:rPr>
        <w:t>发布的信息为准。</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采购代理机构对磋商文件的补充说明、澄清或修改，将构成本项目采购文件的一部分，对供应商具有约束力。</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补充说明、澄清或修改的内容可能影响到响应文件编制的，采购代理机构将在首次提交磋商响应文件截止日</w:t>
      </w:r>
      <w:r>
        <w:rPr>
          <w:rFonts w:ascii="宋体" w:hAnsi="宋体" w:eastAsia="宋体" w:cs="宋体"/>
          <w:color w:val="auto"/>
          <w:sz w:val="24"/>
          <w:szCs w:val="24"/>
        </w:rPr>
        <w:t>5</w:t>
      </w:r>
      <w:r>
        <w:rPr>
          <w:rFonts w:hint="eastAsia" w:ascii="宋体" w:hAnsi="宋体" w:eastAsia="宋体" w:cs="宋体"/>
          <w:color w:val="auto"/>
          <w:sz w:val="24"/>
          <w:szCs w:val="24"/>
        </w:rPr>
        <w:t>日前，发布补充说明、澄清或修改公告。不足</w:t>
      </w:r>
      <w:r>
        <w:rPr>
          <w:rFonts w:ascii="宋体" w:hAnsi="宋体" w:eastAsia="宋体" w:cs="宋体"/>
          <w:color w:val="auto"/>
          <w:sz w:val="24"/>
          <w:szCs w:val="24"/>
        </w:rPr>
        <w:t>5</w:t>
      </w:r>
      <w:r>
        <w:rPr>
          <w:rFonts w:hint="eastAsia" w:ascii="宋体" w:hAnsi="宋体" w:eastAsia="宋体" w:cs="宋体"/>
          <w:color w:val="auto"/>
          <w:sz w:val="24"/>
          <w:szCs w:val="24"/>
        </w:rPr>
        <w:t>日的，应当顺延首次提交磋商响应文件截止之日。</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除非采购代理机构以书面、公告的形式对磋商文件作出澄清、修改、补充并通知到供应商，供应商对涉及磋商文件的任何推论、理解及其结论所造成的结果，均由供应商自负。</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6.</w:t>
      </w:r>
      <w:r>
        <w:rPr>
          <w:rFonts w:hint="eastAsia" w:ascii="宋体" w:hAnsi="宋体" w:eastAsia="宋体" w:cs="宋体"/>
          <w:color w:val="auto"/>
          <w:sz w:val="24"/>
          <w:szCs w:val="24"/>
        </w:rPr>
        <w:t>招标采购单位视情组织答疑会。如有产生答疑且对磋商文件内容有修改，采购代理机构将按照本须知有关规定，以补充通知（公告）的方式发出并通知到供应商。</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三、磋商响应文件的组成及装订</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磋商响应文件由：</w:t>
      </w:r>
      <w:r>
        <w:rPr>
          <w:rFonts w:ascii="宋体" w:hAnsi="宋体" w:eastAsia="宋体" w:cs="宋体"/>
          <w:color w:val="auto"/>
          <w:sz w:val="24"/>
          <w:szCs w:val="24"/>
        </w:rPr>
        <w:t>A</w:t>
      </w:r>
      <w:r>
        <w:rPr>
          <w:rFonts w:hint="eastAsia" w:ascii="宋体" w:hAnsi="宋体" w:eastAsia="宋体" w:cs="宋体"/>
          <w:color w:val="auto"/>
          <w:sz w:val="24"/>
          <w:szCs w:val="24"/>
        </w:rPr>
        <w:t>资格后审材料文件、</w:t>
      </w:r>
      <w:r>
        <w:rPr>
          <w:rFonts w:ascii="宋体" w:hAnsi="宋体" w:eastAsia="宋体" w:cs="宋体"/>
          <w:color w:val="auto"/>
          <w:sz w:val="24"/>
          <w:szCs w:val="24"/>
        </w:rPr>
        <w:t>B</w:t>
      </w:r>
      <w:r>
        <w:rPr>
          <w:rFonts w:hint="eastAsia" w:ascii="宋体" w:hAnsi="宋体" w:eastAsia="宋体" w:cs="宋体"/>
          <w:color w:val="auto"/>
          <w:sz w:val="24"/>
          <w:szCs w:val="24"/>
        </w:rPr>
        <w:t>技术标文件、</w:t>
      </w:r>
      <w:r>
        <w:rPr>
          <w:rFonts w:ascii="宋体" w:hAnsi="宋体" w:eastAsia="宋体" w:cs="宋体"/>
          <w:color w:val="auto"/>
          <w:sz w:val="24"/>
          <w:szCs w:val="24"/>
        </w:rPr>
        <w:t>C</w:t>
      </w:r>
      <w:r>
        <w:rPr>
          <w:rFonts w:hint="eastAsia" w:ascii="宋体" w:hAnsi="宋体" w:eastAsia="宋体" w:cs="宋体"/>
          <w:color w:val="auto"/>
          <w:sz w:val="24"/>
          <w:szCs w:val="24"/>
        </w:rPr>
        <w:t>价格标文件，共</w:t>
      </w:r>
      <w:r>
        <w:rPr>
          <w:rFonts w:ascii="宋体" w:hAnsi="宋体" w:eastAsia="宋体" w:cs="宋体"/>
          <w:color w:val="auto"/>
          <w:sz w:val="24"/>
          <w:szCs w:val="24"/>
        </w:rPr>
        <w:t>3</w:t>
      </w:r>
      <w:r>
        <w:rPr>
          <w:rFonts w:hint="eastAsia" w:ascii="宋体" w:hAnsi="宋体" w:eastAsia="宋体" w:cs="宋体"/>
          <w:color w:val="auto"/>
          <w:sz w:val="24"/>
          <w:szCs w:val="24"/>
        </w:rPr>
        <w:t>部分组成（以下由文件前缀号代称）。</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供应商按磋商响应文件组成顺序编写响应文件，并装订成册。磋商响应文件均需采用</w:t>
      </w:r>
      <w:r>
        <w:rPr>
          <w:rFonts w:ascii="宋体" w:hAnsi="宋体" w:eastAsia="宋体" w:cs="宋体"/>
          <w:color w:val="auto"/>
          <w:sz w:val="24"/>
          <w:szCs w:val="24"/>
        </w:rPr>
        <w:t>A4</w:t>
      </w:r>
      <w:r>
        <w:rPr>
          <w:rFonts w:hint="eastAsia" w:ascii="宋体" w:hAnsi="宋体" w:eastAsia="宋体" w:cs="宋体"/>
          <w:color w:val="auto"/>
          <w:sz w:val="24"/>
          <w:szCs w:val="24"/>
        </w:rPr>
        <w:t>纸（图纸等除外），不允许使用活页夹、拉杆夹、文件夹、塑料方便式书脊（插入式或穿孔式）装订。磋商响应文件不得行间插字、涂改、增删。修改错漏处，须经过供应商法定代表人或其委托的代理人（以下称委托代理人）签字（或盖章）并加盖公章。</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价格标文件中的所有报价表，必须装订成册。</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四、磋商响应文件的份数、签署和退还</w:t>
      </w:r>
    </w:p>
    <w:p>
      <w:pPr>
        <w:snapToGrid w:val="0"/>
        <w:spacing w:line="420" w:lineRule="exact"/>
        <w:ind w:firstLine="480" w:firstLineChars="200"/>
        <w:rPr>
          <w:rFonts w:ascii="宋体" w:hAnsi="宋体" w:eastAsia="宋体"/>
          <w:b/>
          <w:bCs/>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磋商响应文件均应准备“正本”壹份和“副本”贰份</w:t>
      </w:r>
      <w:r>
        <w:rPr>
          <w:rFonts w:hint="eastAsia" w:ascii="宋体" w:hAnsi="宋体" w:eastAsia="宋体" w:cs="宋体"/>
          <w:b/>
          <w:bCs/>
          <w:color w:val="auto"/>
          <w:sz w:val="24"/>
          <w:szCs w:val="24"/>
        </w:rPr>
        <w:t>。</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在每一份磋商响应文件上要明确标注项目名称、磋商响应文件各自对应的名称、供应商全称、“正本”、“副本”字样，“正本”和“副本”若有差异，概以“正本”为准。</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磋商响应文件中的所有“正本”，须为打印的，其正文内容由法定代表人或委托代理人签字（或盖章）并加盖公章，“副本”可为“正本”的复印件。</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磋商程序顺利进行后，所有磋商响应文件都将作为档案保存，不论成交与否，代理机构均不退回（未拆封的除外）。</w:t>
      </w:r>
    </w:p>
    <w:p>
      <w:pPr>
        <w:snapToGrid w:val="0"/>
        <w:spacing w:line="420" w:lineRule="exact"/>
        <w:ind w:firstLine="472" w:firstLineChars="196"/>
        <w:outlineLvl w:val="1"/>
        <w:rPr>
          <w:rFonts w:ascii="宋体" w:hAnsi="宋体" w:eastAsia="宋体"/>
          <w:b/>
          <w:bCs/>
          <w:color w:val="auto"/>
          <w:sz w:val="24"/>
          <w:szCs w:val="24"/>
        </w:rPr>
      </w:pPr>
      <w:r>
        <w:rPr>
          <w:rFonts w:hint="eastAsia" w:ascii="宋体" w:hAnsi="宋体" w:eastAsia="宋体" w:cs="宋体"/>
          <w:b/>
          <w:bCs/>
          <w:color w:val="auto"/>
          <w:sz w:val="24"/>
          <w:szCs w:val="24"/>
        </w:rPr>
        <w:t>五、磋商响应文件的密封及标记</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供应商须将本项目磋商响应文件：【</w:t>
      </w:r>
      <w:r>
        <w:rPr>
          <w:rFonts w:ascii="宋体" w:hAnsi="宋体" w:eastAsia="宋体" w:cs="宋体"/>
          <w:color w:val="auto"/>
          <w:sz w:val="24"/>
          <w:szCs w:val="24"/>
        </w:rPr>
        <w:t>A</w:t>
      </w:r>
      <w:r>
        <w:rPr>
          <w:rFonts w:hint="eastAsia" w:ascii="宋体" w:hAnsi="宋体" w:eastAsia="宋体" w:cs="宋体"/>
          <w:color w:val="auto"/>
          <w:sz w:val="24"/>
          <w:szCs w:val="24"/>
        </w:rPr>
        <w:t>】、【</w:t>
      </w:r>
      <w:r>
        <w:rPr>
          <w:rFonts w:ascii="宋体" w:hAnsi="宋体" w:eastAsia="宋体" w:cs="宋体"/>
          <w:color w:val="auto"/>
          <w:sz w:val="24"/>
          <w:szCs w:val="24"/>
        </w:rPr>
        <w:t>B</w:t>
      </w:r>
      <w:r>
        <w:rPr>
          <w:rFonts w:hint="eastAsia" w:ascii="宋体" w:hAnsi="宋体" w:eastAsia="宋体" w:cs="宋体"/>
          <w:color w:val="auto"/>
          <w:sz w:val="24"/>
          <w:szCs w:val="24"/>
        </w:rPr>
        <w:t>】、【</w:t>
      </w:r>
      <w:r>
        <w:rPr>
          <w:rFonts w:ascii="宋体" w:hAnsi="宋体" w:eastAsia="宋体" w:cs="宋体"/>
          <w:color w:val="auto"/>
          <w:sz w:val="24"/>
          <w:szCs w:val="24"/>
        </w:rPr>
        <w:t>C</w:t>
      </w:r>
      <w:r>
        <w:rPr>
          <w:rFonts w:hint="eastAsia" w:ascii="宋体" w:hAnsi="宋体" w:eastAsia="宋体" w:cs="宋体"/>
          <w:color w:val="auto"/>
          <w:sz w:val="24"/>
          <w:szCs w:val="24"/>
        </w:rPr>
        <w:t>】</w:t>
      </w:r>
      <w:r>
        <w:rPr>
          <w:rFonts w:hint="eastAsia" w:ascii="宋体" w:hAnsi="宋体" w:eastAsia="宋体" w:cs="宋体"/>
          <w:b/>
          <w:bCs/>
          <w:color w:val="auto"/>
          <w:sz w:val="24"/>
          <w:szCs w:val="24"/>
        </w:rPr>
        <w:t>分别单独密封</w:t>
      </w:r>
      <w:r>
        <w:rPr>
          <w:rFonts w:hint="eastAsia" w:ascii="宋体" w:hAnsi="宋体" w:eastAsia="宋体" w:cs="宋体"/>
          <w:color w:val="auto"/>
          <w:sz w:val="24"/>
          <w:szCs w:val="24"/>
        </w:rPr>
        <w:t>。</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密封后，应在每一密封件上明确标注磋商项目名称、磋商响应文件各自对应的名称、供应商全称及日期，同时加盖供应商公章。</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【特别提醒】磋商响应文件中【</w:t>
      </w:r>
      <w:r>
        <w:rPr>
          <w:rFonts w:ascii="宋体" w:hAnsi="宋体" w:eastAsia="宋体" w:cs="宋体"/>
          <w:color w:val="auto"/>
          <w:sz w:val="24"/>
          <w:szCs w:val="24"/>
        </w:rPr>
        <w:t>A</w:t>
      </w:r>
      <w:r>
        <w:rPr>
          <w:rFonts w:hint="eastAsia" w:ascii="宋体" w:hAnsi="宋体" w:eastAsia="宋体" w:cs="宋体"/>
          <w:color w:val="auto"/>
          <w:sz w:val="24"/>
          <w:szCs w:val="24"/>
        </w:rPr>
        <w:t>】与【</w:t>
      </w:r>
      <w:r>
        <w:rPr>
          <w:rFonts w:ascii="宋体" w:hAnsi="宋体" w:eastAsia="宋体" w:cs="宋体"/>
          <w:color w:val="auto"/>
          <w:sz w:val="24"/>
          <w:szCs w:val="24"/>
        </w:rPr>
        <w:t>B</w:t>
      </w:r>
      <w:r>
        <w:rPr>
          <w:rFonts w:hint="eastAsia" w:ascii="宋体" w:hAnsi="宋体" w:eastAsia="宋体" w:cs="宋体"/>
          <w:color w:val="auto"/>
          <w:sz w:val="24"/>
          <w:szCs w:val="24"/>
        </w:rPr>
        <w:t>】的“正本”或“副本”内，均不得含有任何【</w:t>
      </w:r>
      <w:r>
        <w:rPr>
          <w:rFonts w:ascii="宋体" w:hAnsi="宋体" w:eastAsia="宋体" w:cs="宋体"/>
          <w:color w:val="auto"/>
          <w:sz w:val="24"/>
          <w:szCs w:val="24"/>
        </w:rPr>
        <w:t>C</w:t>
      </w:r>
      <w:r>
        <w:rPr>
          <w:rFonts w:hint="eastAsia" w:ascii="宋体" w:hAnsi="宋体" w:eastAsia="宋体" w:cs="宋体"/>
          <w:color w:val="auto"/>
          <w:sz w:val="24"/>
          <w:szCs w:val="24"/>
        </w:rPr>
        <w:t>】中的报价表（报价单）的内容，否则作无效磋商处理。</w:t>
      </w:r>
    </w:p>
    <w:p>
      <w:pPr>
        <w:snapToGrid w:val="0"/>
        <w:spacing w:line="420" w:lineRule="exact"/>
        <w:ind w:firstLine="472" w:firstLineChars="196"/>
        <w:outlineLvl w:val="1"/>
        <w:rPr>
          <w:rFonts w:ascii="宋体" w:hAnsi="宋体" w:eastAsia="宋体"/>
          <w:b/>
          <w:bCs/>
          <w:color w:val="auto"/>
          <w:sz w:val="24"/>
          <w:szCs w:val="24"/>
        </w:rPr>
      </w:pPr>
      <w:r>
        <w:rPr>
          <w:rFonts w:hint="eastAsia" w:ascii="宋体" w:hAnsi="宋体" w:eastAsia="宋体" w:cs="宋体"/>
          <w:b/>
          <w:bCs/>
          <w:color w:val="auto"/>
          <w:sz w:val="24"/>
          <w:szCs w:val="24"/>
        </w:rPr>
        <w:t>六、磋商响应文件内容</w:t>
      </w:r>
    </w:p>
    <w:p>
      <w:pPr>
        <w:snapToGrid w:val="0"/>
        <w:spacing w:line="420" w:lineRule="exact"/>
        <w:ind w:firstLine="487" w:firstLineChars="202"/>
        <w:outlineLvl w:val="2"/>
        <w:rPr>
          <w:rFonts w:ascii="宋体" w:hAnsi="宋体" w:eastAsia="宋体"/>
          <w:b/>
          <w:bCs/>
          <w:color w:val="auto"/>
          <w:sz w:val="24"/>
          <w:szCs w:val="24"/>
        </w:rPr>
      </w:pPr>
      <w:r>
        <w:rPr>
          <w:rFonts w:ascii="宋体" w:hAnsi="宋体" w:eastAsia="宋体" w:cs="宋体"/>
          <w:b/>
          <w:bCs/>
          <w:color w:val="auto"/>
          <w:sz w:val="24"/>
          <w:szCs w:val="24"/>
        </w:rPr>
        <w:t>A</w:t>
      </w:r>
      <w:r>
        <w:rPr>
          <w:rFonts w:hint="eastAsia" w:ascii="宋体" w:hAnsi="宋体" w:eastAsia="宋体" w:cs="宋体"/>
          <w:b/>
          <w:bCs/>
          <w:color w:val="auto"/>
          <w:sz w:val="24"/>
          <w:szCs w:val="24"/>
        </w:rPr>
        <w:t>、资格后审材料文件</w:t>
      </w:r>
      <w:r>
        <w:rPr>
          <w:rFonts w:hint="eastAsia" w:ascii="宋体" w:hAnsi="宋体" w:eastAsia="宋体" w:cs="宋体"/>
          <w:color w:val="auto"/>
          <w:sz w:val="24"/>
          <w:szCs w:val="24"/>
        </w:rPr>
        <w:t>（一个密封包，内含：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snapToGrid w:val="0"/>
        <w:spacing w:line="420" w:lineRule="exact"/>
        <w:ind w:firstLine="491" w:firstLineChars="205"/>
        <w:rPr>
          <w:rFonts w:ascii="宋体" w:hAnsi="宋体" w:eastAsia="宋体"/>
          <w:color w:val="auto"/>
          <w:sz w:val="21"/>
          <w:szCs w:val="21"/>
        </w:rPr>
      </w:pPr>
      <w:r>
        <w:rPr>
          <w:rFonts w:hint="eastAsia" w:ascii="宋体" w:hAnsi="宋体" w:eastAsia="宋体" w:cs="宋体"/>
          <w:color w:val="auto"/>
          <w:sz w:val="24"/>
          <w:szCs w:val="24"/>
        </w:rPr>
        <w:t>【特别提醒】单位负责人为同一人或者存在直接控股、管理关系的不同供应商，不得同时参与同一采购项目相同标段的政府采购活动；如发现供应商递交的资格后审材料有弄虚作假行为，该供应商将记入不良记录，并上报有关部门，如已成交，招标采购单位有权取消其成交资格，并由该供应商承担一切责任和损失。</w:t>
      </w:r>
    </w:p>
    <w:p>
      <w:pPr>
        <w:snapToGrid w:val="0"/>
        <w:spacing w:line="420" w:lineRule="exact"/>
        <w:ind w:firstLine="491" w:firstLineChars="205"/>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提供磋商响应供应商的《营业执照》原件的复印件（须加盖公章）。</w:t>
      </w:r>
    </w:p>
    <w:p>
      <w:pPr>
        <w:snapToGrid w:val="0"/>
        <w:spacing w:line="420" w:lineRule="exact"/>
        <w:ind w:firstLine="491" w:firstLineChars="205"/>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法定代表人参加磋商的，必须提供本人身份证原件的复印件（须加盖公章）；非法定代表人参加的，必须提供法定代表人签名或盖章的授权委托书、委托代理人身份证及磋商响应供应商为其缴纳的</w:t>
      </w:r>
      <w:r>
        <w:rPr>
          <w:rFonts w:ascii="宋体" w:hAnsi="宋体" w:eastAsia="宋体" w:cs="宋体"/>
          <w:color w:val="auto"/>
          <w:sz w:val="24"/>
          <w:szCs w:val="24"/>
        </w:rPr>
        <w:t>202</w:t>
      </w:r>
      <w:r>
        <w:rPr>
          <w:rFonts w:hint="eastAsia" w:ascii="宋体" w:hAnsi="宋体" w:eastAsia="宋体" w:cs="宋体"/>
          <w:color w:val="auto"/>
          <w:sz w:val="24"/>
          <w:szCs w:val="24"/>
        </w:rPr>
        <w:t>1年</w:t>
      </w:r>
      <w:r>
        <w:rPr>
          <w:rFonts w:hint="eastAsia" w:ascii="宋体" w:hAnsi="宋体" w:eastAsia="宋体" w:cs="宋体"/>
          <w:color w:val="auto"/>
          <w:sz w:val="24"/>
          <w:szCs w:val="24"/>
          <w:lang w:val="en-US" w:eastAsia="zh-CN"/>
        </w:rPr>
        <w:t>3</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月的社会保险证明，这</w:t>
      </w:r>
      <w:r>
        <w:rPr>
          <w:rFonts w:ascii="宋体" w:hAnsi="宋体" w:eastAsia="宋体" w:cs="宋体"/>
          <w:color w:val="auto"/>
          <w:sz w:val="24"/>
          <w:szCs w:val="24"/>
        </w:rPr>
        <w:t>3</w:t>
      </w:r>
      <w:r>
        <w:rPr>
          <w:rFonts w:hint="eastAsia" w:ascii="宋体" w:hAnsi="宋体" w:eastAsia="宋体" w:cs="宋体"/>
          <w:color w:val="auto"/>
          <w:sz w:val="24"/>
          <w:szCs w:val="24"/>
        </w:rPr>
        <w:t>项材料原件的复印件（须加盖公章）。</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磋商响应供应商须提供参与本次项目政府采购活动前三年内在经营活动中没有重大违法记录的书面《无重大违法记录声明函》（须加盖公章）。</w:t>
      </w:r>
    </w:p>
    <w:p>
      <w:pPr>
        <w:snapToGrid w:val="0"/>
        <w:spacing w:line="420" w:lineRule="exact"/>
        <w:ind w:firstLine="491" w:firstLineChars="205"/>
        <w:rPr>
          <w:rFonts w:hint="eastAsia" w:ascii="宋体" w:hAnsi="宋体" w:eastAsia="宋体" w:cs="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磋商响应供应商还须提供谈判文件第八章谈判响应文件格式内“三、</w:t>
      </w:r>
      <w:r>
        <w:rPr>
          <w:rFonts w:ascii="宋体" w:hAnsi="宋体" w:eastAsia="宋体" w:cs="宋体"/>
          <w:color w:val="auto"/>
          <w:sz w:val="24"/>
          <w:szCs w:val="24"/>
        </w:rPr>
        <w:t>A</w:t>
      </w:r>
      <w:r>
        <w:rPr>
          <w:rFonts w:hint="eastAsia" w:ascii="宋体" w:hAnsi="宋体" w:eastAsia="宋体" w:cs="宋体"/>
          <w:color w:val="auto"/>
          <w:sz w:val="24"/>
          <w:szCs w:val="24"/>
        </w:rPr>
        <w:t>、</w:t>
      </w:r>
      <w:r>
        <w:rPr>
          <w:rFonts w:ascii="宋体" w:hAnsi="宋体" w:eastAsia="宋体" w:cs="宋体"/>
          <w:color w:val="auto"/>
          <w:sz w:val="24"/>
          <w:szCs w:val="24"/>
        </w:rPr>
        <w:t>A.2</w:t>
      </w:r>
      <w:r>
        <w:rPr>
          <w:rFonts w:hint="eastAsia" w:ascii="宋体" w:hAnsi="宋体" w:eastAsia="宋体" w:cs="宋体"/>
          <w:color w:val="auto"/>
          <w:sz w:val="24"/>
          <w:szCs w:val="24"/>
        </w:rPr>
        <w:t>、”中的“资格后审材料相关格式文件”内的：关于资格文件的声明函、磋商响应供应商一般情况表。</w:t>
      </w:r>
    </w:p>
    <w:p>
      <w:pPr>
        <w:pStyle w:val="2"/>
        <w:rPr>
          <w:rFonts w:hint="default" w:eastAsia="宋体"/>
          <w:color w:val="auto"/>
          <w:lang w:val="en-US" w:eastAsia="zh-CN"/>
        </w:rPr>
      </w:pPr>
      <w:r>
        <w:rPr>
          <w:rFonts w:hint="eastAsia" w:ascii="宋体" w:hAnsi="宋体" w:eastAsia="宋体" w:cs="宋体"/>
          <w:color w:val="auto"/>
          <w:sz w:val="24"/>
          <w:szCs w:val="24"/>
          <w:lang w:val="en-US" w:eastAsia="zh-CN"/>
        </w:rPr>
        <w:t>5.信用查询结果截图</w:t>
      </w:r>
      <w:r>
        <w:rPr>
          <w:rFonts w:hint="eastAsia" w:ascii="宋体" w:hAnsi="宋体" w:eastAsia="宋体" w:cs="宋体"/>
          <w:color w:val="auto"/>
          <w:sz w:val="24"/>
          <w:szCs w:val="24"/>
        </w:rPr>
        <w:t>（须加盖公章）</w:t>
      </w:r>
    </w:p>
    <w:p>
      <w:pPr>
        <w:snapToGrid w:val="0"/>
        <w:spacing w:line="420" w:lineRule="exact"/>
        <w:ind w:firstLine="487" w:firstLineChars="202"/>
        <w:outlineLvl w:val="2"/>
        <w:rPr>
          <w:rFonts w:ascii="宋体" w:hAnsi="宋体" w:eastAsia="宋体"/>
          <w:b/>
          <w:bCs/>
          <w:color w:val="auto"/>
          <w:sz w:val="24"/>
          <w:szCs w:val="24"/>
        </w:rPr>
      </w:pPr>
      <w:r>
        <w:rPr>
          <w:rFonts w:ascii="宋体" w:hAnsi="宋体" w:eastAsia="宋体" w:cs="宋体"/>
          <w:b/>
          <w:bCs/>
          <w:color w:val="auto"/>
          <w:sz w:val="24"/>
          <w:szCs w:val="24"/>
        </w:rPr>
        <w:t>B</w:t>
      </w:r>
      <w:r>
        <w:rPr>
          <w:rFonts w:hint="eastAsia" w:ascii="宋体" w:hAnsi="宋体" w:eastAsia="宋体" w:cs="宋体"/>
          <w:b/>
          <w:bCs/>
          <w:color w:val="auto"/>
          <w:sz w:val="24"/>
          <w:szCs w:val="24"/>
        </w:rPr>
        <w:t>、技术标文件</w:t>
      </w:r>
      <w:r>
        <w:rPr>
          <w:rFonts w:hint="eastAsia" w:ascii="宋体" w:hAnsi="宋体" w:eastAsia="宋体" w:cs="宋体"/>
          <w:color w:val="auto"/>
          <w:sz w:val="24"/>
          <w:szCs w:val="24"/>
        </w:rPr>
        <w:t>（一个密封包，内含：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r>
        <w:rPr>
          <w:rFonts w:hint="eastAsia" w:ascii="宋体" w:hAnsi="宋体" w:eastAsia="宋体" w:cs="宋体"/>
          <w:b/>
          <w:bCs/>
          <w:color w:val="auto"/>
          <w:sz w:val="24"/>
          <w:szCs w:val="24"/>
        </w:rPr>
        <w:t>（格式参见第八章）</w:t>
      </w:r>
    </w:p>
    <w:p>
      <w:pPr>
        <w:snapToGrid w:val="0"/>
        <w:spacing w:line="420" w:lineRule="exact"/>
        <w:ind w:firstLine="491" w:firstLineChars="205"/>
        <w:rPr>
          <w:rFonts w:ascii="宋体" w:hAnsi="宋体" w:eastAsia="宋体"/>
          <w:color w:val="auto"/>
          <w:sz w:val="24"/>
          <w:szCs w:val="24"/>
        </w:rPr>
      </w:pPr>
      <w:r>
        <w:rPr>
          <w:rFonts w:hint="eastAsia" w:ascii="宋体" w:hAnsi="宋体" w:eastAsia="宋体" w:cs="宋体"/>
          <w:color w:val="auto"/>
          <w:sz w:val="24"/>
          <w:szCs w:val="24"/>
        </w:rPr>
        <w:t>【特别提醒】</w:t>
      </w:r>
      <w:r>
        <w:rPr>
          <w:rFonts w:hint="eastAsia" w:ascii="宋体" w:hAnsi="宋体" w:eastAsia="宋体" w:cs="宋体"/>
          <w:color w:val="auto"/>
          <w:sz w:val="24"/>
          <w:szCs w:val="24"/>
          <w:u w:val="thick" w:color="FF0000"/>
        </w:rPr>
        <w:t>供应商应根据本磋商文件第三章“项目需求”，仔细阅读并在理解的基础上结合第四章“评审程序和方法”内的评审细则编写编制技术标文件，并提供评分标准中所涉及到的相应材料</w:t>
      </w:r>
      <w:r>
        <w:rPr>
          <w:rFonts w:hint="eastAsia" w:ascii="宋体" w:hAnsi="宋体" w:eastAsia="宋体" w:cs="宋体"/>
          <w:color w:val="auto"/>
          <w:sz w:val="24"/>
          <w:szCs w:val="24"/>
        </w:rPr>
        <w:t>。以下技术标文件的内容，不得有缺项或漏项。否则将有可能被视为未实质性响应磋商文件要求而作无效磋商处理，亦可能直接影响技术磋商评审的得分。</w:t>
      </w:r>
      <w:r>
        <w:rPr>
          <w:rFonts w:hint="eastAsia" w:ascii="宋体" w:hAnsi="宋体" w:eastAsia="宋体" w:cs="宋体"/>
          <w:color w:val="auto"/>
          <w:sz w:val="24"/>
          <w:szCs w:val="24"/>
          <w:u w:val="thick" w:color="FF0000"/>
        </w:rPr>
        <w:t>凡涉及材料原件的，须将材料原件带至开标现场，以便评审核查</w:t>
      </w:r>
      <w:r>
        <w:rPr>
          <w:rFonts w:hint="eastAsia" w:ascii="宋体" w:hAnsi="宋体" w:eastAsia="宋体" w:cs="宋体"/>
          <w:color w:val="auto"/>
          <w:sz w:val="24"/>
          <w:szCs w:val="24"/>
        </w:rPr>
        <w:t>。</w:t>
      </w:r>
    </w:p>
    <w:p>
      <w:pPr>
        <w:spacing w:line="420" w:lineRule="exact"/>
        <w:ind w:firstLine="487" w:firstLineChars="202"/>
        <w:outlineLvl w:val="3"/>
        <w:rPr>
          <w:rFonts w:ascii="宋体" w:hAnsi="宋体" w:eastAsia="宋体"/>
          <w:b/>
          <w:bCs/>
          <w:color w:val="auto"/>
          <w:sz w:val="24"/>
          <w:szCs w:val="24"/>
        </w:rPr>
      </w:pPr>
      <w:r>
        <w:rPr>
          <w:rFonts w:ascii="宋体" w:hAnsi="宋体" w:eastAsia="宋体" w:cs="宋体"/>
          <w:b/>
          <w:bCs/>
          <w:color w:val="auto"/>
          <w:sz w:val="24"/>
          <w:szCs w:val="24"/>
        </w:rPr>
        <w:t>1.</w:t>
      </w:r>
      <w:r>
        <w:rPr>
          <w:rFonts w:hint="eastAsia" w:ascii="宋体" w:hAnsi="宋体" w:eastAsia="宋体" w:cs="宋体"/>
          <w:b/>
          <w:bCs/>
          <w:color w:val="auto"/>
          <w:sz w:val="24"/>
          <w:szCs w:val="24"/>
        </w:rPr>
        <w:t>竞争性磋商响应函；</w:t>
      </w:r>
    </w:p>
    <w:p>
      <w:pPr>
        <w:spacing w:line="420" w:lineRule="exact"/>
        <w:ind w:firstLine="487" w:firstLineChars="202"/>
        <w:outlineLvl w:val="3"/>
        <w:rPr>
          <w:rFonts w:ascii="宋体" w:hAnsi="宋体" w:eastAsia="宋体"/>
          <w:b/>
          <w:bCs/>
          <w:color w:val="auto"/>
          <w:sz w:val="24"/>
          <w:szCs w:val="24"/>
        </w:rPr>
      </w:pPr>
      <w:r>
        <w:rPr>
          <w:rFonts w:ascii="宋体" w:hAnsi="宋体" w:eastAsia="宋体" w:cs="宋体"/>
          <w:b/>
          <w:bCs/>
          <w:color w:val="auto"/>
          <w:sz w:val="24"/>
          <w:szCs w:val="24"/>
        </w:rPr>
        <w:t>2.</w:t>
      </w:r>
      <w:r>
        <w:rPr>
          <w:rFonts w:hint="eastAsia" w:ascii="宋体" w:hAnsi="宋体" w:eastAsia="宋体" w:cs="宋体"/>
          <w:b/>
          <w:bCs/>
          <w:color w:val="auto"/>
          <w:sz w:val="24"/>
          <w:szCs w:val="24"/>
        </w:rPr>
        <w:t>技术响应（技术标评审涉及到的相关资料）</w:t>
      </w:r>
    </w:p>
    <w:p>
      <w:pPr>
        <w:spacing w:line="420" w:lineRule="exact"/>
        <w:ind w:firstLine="487" w:firstLineChars="202"/>
        <w:outlineLvl w:val="2"/>
        <w:rPr>
          <w:rFonts w:ascii="宋体" w:hAnsi="宋体" w:eastAsia="宋体"/>
          <w:b/>
          <w:bCs/>
          <w:color w:val="auto"/>
          <w:sz w:val="24"/>
          <w:szCs w:val="24"/>
        </w:rPr>
      </w:pPr>
      <w:r>
        <w:rPr>
          <w:rFonts w:ascii="宋体" w:hAnsi="宋体" w:eastAsia="宋体" w:cs="宋体"/>
          <w:b/>
          <w:bCs/>
          <w:color w:val="auto"/>
          <w:sz w:val="24"/>
          <w:szCs w:val="24"/>
        </w:rPr>
        <w:t>C</w:t>
      </w:r>
      <w:r>
        <w:rPr>
          <w:rFonts w:hint="eastAsia" w:ascii="宋体" w:hAnsi="宋体" w:eastAsia="宋体" w:cs="宋体"/>
          <w:b/>
          <w:bCs/>
          <w:color w:val="auto"/>
          <w:sz w:val="24"/>
          <w:szCs w:val="24"/>
        </w:rPr>
        <w:t>、价格标文件：</w:t>
      </w:r>
      <w:r>
        <w:rPr>
          <w:rFonts w:hint="eastAsia" w:ascii="宋体" w:hAnsi="宋体" w:eastAsia="宋体" w:cs="宋体"/>
          <w:color w:val="auto"/>
          <w:sz w:val="24"/>
          <w:szCs w:val="24"/>
        </w:rPr>
        <w:t>（一个密封包，内含：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特别提醒】价格标文件中的报价，包括本竞争性磋商文件规定涵盖的所有招标磋商范围及相应说明的全部内容涉及到的费用。本次磋商采购项目的商务付款方式，必须全部响应，不得有任何负偏离，且不接受任何意在更改的说明，否则作无效磋商处理。供应商成交后如据此提出疑义，不履行签订合同等下一步工作，采购人有权取消其成交资格。</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磋商响应报价（首次）总表（格式）；</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磋商响应报价明细表（格式自拟）。</w:t>
      </w:r>
    </w:p>
    <w:p>
      <w:pPr>
        <w:spacing w:line="420" w:lineRule="exact"/>
        <w:ind w:firstLine="525" w:firstLineChars="202"/>
        <w:rPr>
          <w:rFonts w:ascii="宋体" w:hAnsi="宋体" w:eastAsia="宋体"/>
          <w:color w:val="auto"/>
        </w:rPr>
      </w:pPr>
      <w:r>
        <w:rPr>
          <w:rFonts w:hint="eastAsia" w:ascii="宋体" w:hAnsi="宋体" w:eastAsia="宋体" w:cs="宋体"/>
          <w:color w:val="auto"/>
        </w:rPr>
        <w:t>【特别说明】投标人如符合《政府采购促进中小企业发展暂行办法》（财库〔</w:t>
      </w:r>
      <w:r>
        <w:rPr>
          <w:rFonts w:ascii="宋体" w:hAnsi="宋体" w:eastAsia="宋体" w:cs="宋体"/>
          <w:color w:val="auto"/>
        </w:rPr>
        <w:t>2011</w:t>
      </w:r>
      <w:r>
        <w:rPr>
          <w:rFonts w:hint="eastAsia" w:ascii="宋体" w:hAnsi="宋体" w:eastAsia="宋体" w:cs="宋体"/>
          <w:color w:val="auto"/>
        </w:rPr>
        <w:t>〕</w:t>
      </w:r>
      <w:r>
        <w:rPr>
          <w:rFonts w:ascii="宋体" w:hAnsi="宋体" w:eastAsia="宋体" w:cs="宋体"/>
          <w:color w:val="auto"/>
        </w:rPr>
        <w:t>181</w:t>
      </w:r>
      <w:r>
        <w:rPr>
          <w:rFonts w:hint="eastAsia" w:ascii="宋体" w:hAnsi="宋体" w:eastAsia="宋体" w:cs="宋体"/>
          <w:color w:val="auto"/>
        </w:rPr>
        <w:t>号）的通知规定，属于小型、微型企业的，须提供《中小企业声明函》。（具体要求见第四章第四条第</w:t>
      </w:r>
      <w:r>
        <w:rPr>
          <w:rFonts w:ascii="宋体" w:hAnsi="宋体" w:eastAsia="宋体" w:cs="宋体"/>
          <w:color w:val="auto"/>
        </w:rPr>
        <w:t>1</w:t>
      </w:r>
      <w:r>
        <w:rPr>
          <w:rFonts w:hint="eastAsia" w:ascii="宋体" w:hAnsi="宋体" w:eastAsia="宋体" w:cs="宋体"/>
          <w:color w:val="auto"/>
        </w:rPr>
        <w:t>款，格式见第八章）</w:t>
      </w:r>
    </w:p>
    <w:p>
      <w:pPr>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1</w:t>
      </w:r>
      <w:r>
        <w:rPr>
          <w:rFonts w:hint="eastAsia" w:ascii="宋体" w:hAnsi="宋体" w:eastAsia="宋体" w:cs="宋体"/>
          <w:color w:val="auto"/>
        </w:rPr>
        <w:t>）填报“中小企业声明函”需严格按“工信部联企业〔</w:t>
      </w:r>
      <w:r>
        <w:rPr>
          <w:rFonts w:ascii="宋体" w:hAnsi="宋体" w:eastAsia="宋体" w:cs="宋体"/>
          <w:color w:val="auto"/>
        </w:rPr>
        <w:t>2011</w:t>
      </w:r>
      <w:r>
        <w:rPr>
          <w:rFonts w:hint="eastAsia" w:ascii="宋体" w:hAnsi="宋体" w:eastAsia="宋体" w:cs="宋体"/>
          <w:color w:val="auto"/>
        </w:rPr>
        <w:t>〕</w:t>
      </w:r>
      <w:r>
        <w:rPr>
          <w:rFonts w:ascii="宋体" w:hAnsi="宋体" w:eastAsia="宋体" w:cs="宋体"/>
          <w:color w:val="auto"/>
        </w:rPr>
        <w:t>300</w:t>
      </w:r>
      <w:r>
        <w:rPr>
          <w:rFonts w:hint="eastAsia" w:ascii="宋体" w:hAnsi="宋体" w:eastAsia="宋体" w:cs="宋体"/>
          <w:color w:val="auto"/>
        </w:rPr>
        <w:t>号通知”中的《中小企业划型标准规定》进行。</w:t>
      </w:r>
    </w:p>
    <w:p>
      <w:pPr>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2</w:t>
      </w:r>
      <w:r>
        <w:rPr>
          <w:rFonts w:hint="eastAsia" w:ascii="宋体" w:hAnsi="宋体" w:eastAsia="宋体" w:cs="宋体"/>
          <w:color w:val="auto"/>
        </w:rPr>
        <w:t>）若投标人提供的“中小企业声明函”（见第八章）或认定证明为虚假声明则视同提供虚假材料；投标人的该行为将报请政府采购监管财政部门按《中华人民共和国政府采购法》第七十七条的规定处理并给予行政处罚。</w:t>
      </w:r>
    </w:p>
    <w:p>
      <w:pPr>
        <w:spacing w:line="420" w:lineRule="exact"/>
        <w:ind w:firstLine="487" w:firstLineChars="202"/>
        <w:rPr>
          <w:rFonts w:ascii="宋体" w:hAnsi="宋体" w:eastAsia="宋体"/>
          <w:b/>
          <w:bCs/>
          <w:color w:val="auto"/>
          <w:sz w:val="24"/>
          <w:szCs w:val="24"/>
        </w:rPr>
      </w:pPr>
      <w:r>
        <w:rPr>
          <w:rFonts w:hint="eastAsia" w:ascii="宋体" w:hAnsi="宋体" w:eastAsia="宋体" w:cs="宋体"/>
          <w:b/>
          <w:bCs/>
          <w:color w:val="auto"/>
          <w:sz w:val="24"/>
          <w:szCs w:val="24"/>
        </w:rPr>
        <w:t>七、联合体</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本项目不接受多个供应商组成联合体参与磋商响应。</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八、磋商报价</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本项目不接受任何有选择的报价。</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报价均以人民币为报价的货币单位。</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报价表必须加盖报价人公章且必须经法定代表人或其委托授权人签署。</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磋商报价出现前后不一致的，按照下列规定修正：</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）磋商响应文件中报价表（开标一览表）内容与磋商文件技术响应中内容明细不一致的，以报价表（开标一览表）为准；</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）磋商响应文件中涉及大写金额和小写金额不一致的，以大写金额为准；</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）单价金额小数点或者百分比有明显错位的，以报价表（开标一览表）的总价为准，并修改单价；</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）总价金额与按单价汇总金额不一致的，以单价金额计算结果为准。</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同时出现两种以上不一致的，按照前款规定的顺序修正。修正后的报价应当由磋商响应供应商的法定代表人或其授权的代表签字确认后产生约束力，磋商响应供应商不确认的，其投标磋商无效。</w:t>
      </w:r>
    </w:p>
    <w:p>
      <w:pPr>
        <w:snapToGrid w:val="0"/>
        <w:spacing w:line="420" w:lineRule="exact"/>
        <w:ind w:firstLine="494" w:firstLineChars="206"/>
        <w:rPr>
          <w:rFonts w:ascii="宋体" w:hAnsi="宋体" w:eastAsia="宋体"/>
          <w:color w:val="auto"/>
        </w:rPr>
      </w:pPr>
      <w:r>
        <w:rPr>
          <w:rFonts w:ascii="宋体" w:hAnsi="宋体" w:eastAsia="宋体" w:cs="宋体"/>
          <w:color w:val="auto"/>
          <w:sz w:val="24"/>
          <w:szCs w:val="24"/>
        </w:rPr>
        <w:t>5.</w:t>
      </w:r>
      <w:bookmarkStart w:id="5" w:name="_Hlk524490877"/>
      <w:r>
        <w:rPr>
          <w:rFonts w:hint="eastAsia" w:ascii="宋体" w:hAnsi="宋体" w:eastAsia="宋体" w:cs="宋体"/>
          <w:color w:val="auto"/>
          <w:sz w:val="24"/>
          <w:szCs w:val="24"/>
        </w:rPr>
        <w:t>本项目磋商报价约定：</w:t>
      </w:r>
    </w:p>
    <w:p>
      <w:pPr>
        <w:snapToGrid w:val="0"/>
        <w:spacing w:line="420" w:lineRule="exact"/>
        <w:ind w:firstLine="494" w:firstLineChars="206"/>
        <w:rPr>
          <w:rFonts w:ascii="宋体" w:hAnsi="宋体" w:eastAsia="宋体"/>
          <w:color w:val="auto"/>
          <w:sz w:val="24"/>
          <w:szCs w:val="24"/>
          <w:highlight w:val="green"/>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）投标总报价（以人民币计价）应包括本项目的设计费、材料费、包装费、运输费、装卸费、员工工资、保险、管理费、利润、税金及合同实施过程中的不可预见等所有费用，即招标物交付使用的所有服务费用。</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）磋商响应供应商的磋商报价中应含的保险费按如下规定办理：</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第三方责任险、所有工作人员装备险及其他职工的（人身）事故险由磋商供应商自行投保，保险费由成交供应商自行承担并支付，并包含在磋商报价中，不单独报价。</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）磋商报价中应包括磋商文件未明确列出但按常规应当包括的所有费用。</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）磋商响应供应商在磋商过程中发生的其他一切费用，不论中标与否，均由供应商自负。</w:t>
      </w:r>
    </w:p>
    <w:bookmarkEnd w:id="5"/>
    <w:p>
      <w:pPr>
        <w:snapToGrid w:val="0"/>
        <w:spacing w:line="420" w:lineRule="exact"/>
        <w:ind w:firstLine="494" w:firstLineChars="206"/>
        <w:rPr>
          <w:rFonts w:ascii="宋体" w:hAnsi="宋体" w:eastAsia="宋体"/>
          <w:color w:val="auto"/>
          <w:sz w:val="24"/>
          <w:szCs w:val="24"/>
          <w:highlight w:val="yellow"/>
        </w:rPr>
      </w:pPr>
      <w:r>
        <w:rPr>
          <w:rFonts w:ascii="宋体" w:hAnsi="宋体" w:eastAsia="宋体" w:cs="宋体"/>
          <w:color w:val="auto"/>
          <w:sz w:val="24"/>
          <w:szCs w:val="24"/>
        </w:rPr>
        <w:t>6.</w:t>
      </w:r>
      <w:r>
        <w:rPr>
          <w:rFonts w:hint="eastAsia" w:ascii="宋体" w:hAnsi="宋体" w:eastAsia="宋体" w:cs="宋体"/>
          <w:color w:val="auto"/>
          <w:sz w:val="24"/>
          <w:szCs w:val="24"/>
          <w:u w:val="thick" w:color="FF0000"/>
        </w:rPr>
        <w:t>本磋商项目服务响应报价有现场最终（二次）报价</w:t>
      </w:r>
      <w:r>
        <w:rPr>
          <w:rFonts w:hint="eastAsia" w:ascii="宋体" w:hAnsi="宋体" w:eastAsia="宋体" w:cs="宋体"/>
          <w:color w:val="auto"/>
          <w:sz w:val="24"/>
          <w:szCs w:val="24"/>
        </w:rPr>
        <w:t>。</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7.</w:t>
      </w:r>
      <w:r>
        <w:rPr>
          <w:rFonts w:hint="eastAsia" w:ascii="宋体" w:hAnsi="宋体" w:eastAsia="宋体" w:cs="宋体"/>
          <w:color w:val="auto"/>
          <w:sz w:val="24"/>
          <w:szCs w:val="24"/>
        </w:rPr>
        <w:t>除非因特殊原因并经买卖双方协商同意，成交的供应商（以下称成交人）不得再要求追加任何费用。同时，除非合同条款中另有规定，否则，成交人的成交价在合同实施期间不因市场变化因素而变动。</w:t>
      </w:r>
    </w:p>
    <w:p>
      <w:pPr>
        <w:snapToGrid w:val="0"/>
        <w:spacing w:line="420" w:lineRule="exact"/>
        <w:ind w:firstLine="496" w:firstLineChars="206"/>
        <w:outlineLvl w:val="1"/>
        <w:rPr>
          <w:rFonts w:ascii="宋体" w:hAnsi="宋体" w:eastAsia="宋体"/>
          <w:color w:val="auto"/>
          <w:sz w:val="24"/>
          <w:szCs w:val="24"/>
        </w:rPr>
      </w:pPr>
      <w:r>
        <w:rPr>
          <w:rFonts w:hint="eastAsia" w:ascii="宋体" w:hAnsi="宋体" w:eastAsia="宋体" w:cs="宋体"/>
          <w:b/>
          <w:bCs/>
          <w:color w:val="auto"/>
          <w:sz w:val="24"/>
          <w:szCs w:val="24"/>
        </w:rPr>
        <w:t>九、磋商响应文件的有效期</w:t>
      </w:r>
    </w:p>
    <w:p>
      <w:pPr>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从磋商响应文件接收截止之日算起，</w:t>
      </w:r>
      <w:r>
        <w:rPr>
          <w:rFonts w:ascii="宋体" w:hAnsi="宋体" w:eastAsia="宋体" w:cs="宋体"/>
          <w:b/>
          <w:bCs/>
          <w:color w:val="auto"/>
          <w:sz w:val="24"/>
          <w:szCs w:val="24"/>
        </w:rPr>
        <w:t>45</w:t>
      </w:r>
      <w:r>
        <w:rPr>
          <w:rFonts w:hint="eastAsia" w:ascii="宋体" w:hAnsi="宋体" w:eastAsia="宋体" w:cs="宋体"/>
          <w:color w:val="auto"/>
          <w:sz w:val="24"/>
          <w:szCs w:val="24"/>
        </w:rPr>
        <w:t>个日历天内投标书应保持有效。有效期短于这个规定期限的投标，将被拒绝。</w:t>
      </w:r>
    </w:p>
    <w:p>
      <w:pPr>
        <w:spacing w:line="420" w:lineRule="exact"/>
        <w:ind w:firstLine="482" w:firstLineChars="200"/>
        <w:outlineLvl w:val="1"/>
        <w:rPr>
          <w:rFonts w:ascii="宋体" w:hAnsi="宋体" w:eastAsia="宋体"/>
          <w:color w:val="auto"/>
          <w:sz w:val="24"/>
          <w:szCs w:val="24"/>
        </w:rPr>
      </w:pPr>
      <w:r>
        <w:rPr>
          <w:rFonts w:hint="eastAsia" w:ascii="宋体" w:hAnsi="宋体" w:eastAsia="宋体" w:cs="宋体"/>
          <w:b/>
          <w:bCs/>
          <w:color w:val="auto"/>
          <w:sz w:val="24"/>
          <w:szCs w:val="24"/>
        </w:rPr>
        <w:t>十、磋商响应文件的递交接收</w:t>
      </w:r>
    </w:p>
    <w:p>
      <w:pPr>
        <w:spacing w:line="420" w:lineRule="exact"/>
        <w:ind w:firstLine="480" w:firstLineChars="200"/>
        <w:rPr>
          <w:rFonts w:hint="eastAsia" w:ascii="宋体" w:hAnsi="宋体" w:eastAsia="宋体" w:cs="宋体"/>
          <w:color w:val="auto"/>
          <w:sz w:val="24"/>
          <w:szCs w:val="24"/>
          <w:u w:val="none"/>
        </w:rPr>
      </w:pPr>
      <w:r>
        <w:rPr>
          <w:rFonts w:ascii="宋体" w:hAnsi="宋体" w:eastAsia="宋体" w:cs="宋体"/>
          <w:color w:val="auto"/>
          <w:sz w:val="24"/>
          <w:szCs w:val="24"/>
        </w:rPr>
        <w:t>1.</w:t>
      </w:r>
      <w:r>
        <w:rPr>
          <w:rFonts w:hint="eastAsia" w:ascii="宋体" w:hAnsi="宋体" w:eastAsia="宋体" w:cs="宋体"/>
          <w:color w:val="auto"/>
          <w:sz w:val="24"/>
          <w:szCs w:val="24"/>
        </w:rPr>
        <w:t>磋商响应文件接收截止及评审的时间：</w:t>
      </w:r>
      <w:r>
        <w:rPr>
          <w:rFonts w:ascii="宋体" w:hAnsi="宋体" w:eastAsia="宋体" w:cs="宋体"/>
          <w:b/>
          <w:bCs/>
          <w:color w:val="auto"/>
          <w:sz w:val="24"/>
          <w:szCs w:val="24"/>
          <w:u w:val="thick" w:color="FF0000"/>
        </w:rPr>
        <w:t>202</w:t>
      </w:r>
      <w:r>
        <w:rPr>
          <w:rFonts w:hint="eastAsia" w:ascii="宋体" w:hAnsi="宋体" w:eastAsia="宋体" w:cs="宋体"/>
          <w:b/>
          <w:bCs/>
          <w:color w:val="auto"/>
          <w:sz w:val="24"/>
          <w:szCs w:val="24"/>
          <w:u w:val="thick" w:color="FF0000"/>
        </w:rPr>
        <w:t>1年</w:t>
      </w:r>
      <w:r>
        <w:rPr>
          <w:rFonts w:hint="default" w:ascii="宋体" w:hAnsi="宋体" w:eastAsia="宋体" w:cs="宋体"/>
          <w:b/>
          <w:bCs/>
          <w:color w:val="auto"/>
          <w:sz w:val="24"/>
          <w:szCs w:val="24"/>
          <w:u w:val="thick" w:color="FF0000"/>
          <w:lang w:val="en-US" w:eastAsia="zh-CN"/>
        </w:rPr>
        <w:t>10</w:t>
      </w:r>
      <w:r>
        <w:rPr>
          <w:rFonts w:hint="eastAsia" w:ascii="宋体" w:hAnsi="宋体" w:eastAsia="宋体" w:cs="宋体"/>
          <w:b/>
          <w:bCs/>
          <w:color w:val="auto"/>
          <w:sz w:val="24"/>
          <w:szCs w:val="24"/>
          <w:u w:val="thick" w:color="FF0000"/>
        </w:rPr>
        <w:t xml:space="preserve"> 月 </w:t>
      </w:r>
      <w:r>
        <w:rPr>
          <w:rFonts w:hint="eastAsia" w:ascii="宋体" w:hAnsi="宋体" w:eastAsia="宋体" w:cs="宋体"/>
          <w:b/>
          <w:bCs/>
          <w:color w:val="auto"/>
          <w:sz w:val="24"/>
          <w:szCs w:val="24"/>
          <w:u w:val="thick" w:color="FF0000"/>
          <w:lang w:val="en-US" w:eastAsia="zh-CN"/>
        </w:rPr>
        <w:t>14</w:t>
      </w:r>
      <w:r>
        <w:rPr>
          <w:rFonts w:hint="eastAsia" w:ascii="宋体" w:hAnsi="宋体" w:eastAsia="宋体" w:cs="宋体"/>
          <w:b/>
          <w:bCs/>
          <w:color w:val="auto"/>
          <w:sz w:val="24"/>
          <w:szCs w:val="24"/>
          <w:u w:val="thick" w:color="FF0000"/>
        </w:rPr>
        <w:t>日上午9时30分</w:t>
      </w:r>
      <w:r>
        <w:rPr>
          <w:rFonts w:hint="eastAsia" w:ascii="宋体" w:hAnsi="宋体" w:eastAsia="宋体" w:cs="宋体"/>
          <w:color w:val="auto"/>
          <w:sz w:val="24"/>
          <w:szCs w:val="24"/>
        </w:rPr>
        <w:t>。地址</w:t>
      </w:r>
      <w:r>
        <w:rPr>
          <w:rFonts w:hint="eastAsia" w:ascii="宋体" w:hAnsi="宋体" w:eastAsia="宋体" w:cs="宋体"/>
          <w:b w:val="0"/>
          <w:bCs w:val="0"/>
          <w:color w:val="auto"/>
          <w:sz w:val="24"/>
          <w:szCs w:val="24"/>
          <w:u w:val="none"/>
          <w:lang w:val="en-US" w:eastAsia="zh-CN"/>
        </w:rPr>
        <w:t>南通市行政中心综合楼7楼中共南通市委老干部局722会议室</w:t>
      </w:r>
      <w:r>
        <w:rPr>
          <w:rFonts w:hint="eastAsia" w:ascii="宋体" w:hAnsi="宋体" w:eastAsia="宋体" w:cs="宋体"/>
          <w:color w:val="auto"/>
          <w:sz w:val="24"/>
          <w:szCs w:val="24"/>
          <w:u w:val="none"/>
        </w:rPr>
        <w:t>，如有变动另行通知。</w:t>
      </w:r>
    </w:p>
    <w:p>
      <w:pPr>
        <w:snapToGrid/>
        <w:spacing w:line="420" w:lineRule="exact"/>
        <w:ind w:firstLine="480" w:firstLineChars="200"/>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十一、磋商费用：</w:t>
      </w:r>
    </w:p>
    <w:p>
      <w:pPr>
        <w:snapToGrid w:val="0"/>
        <w:spacing w:line="420" w:lineRule="exact"/>
        <w:ind w:firstLine="494" w:firstLineChars="206"/>
        <w:outlineLvl w:val="1"/>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竞争性磋商采购文件</w:t>
      </w:r>
      <w:r>
        <w:rPr>
          <w:rFonts w:hint="eastAsia" w:ascii="宋体" w:hAnsi="宋体" w:eastAsia="宋体" w:cs="宋体"/>
          <w:color w:val="auto"/>
          <w:sz w:val="24"/>
          <w:szCs w:val="24"/>
          <w:lang w:val="en-US" w:eastAsia="zh-CN"/>
        </w:rPr>
        <w:t>250</w:t>
      </w:r>
      <w:r>
        <w:rPr>
          <w:rFonts w:ascii="宋体" w:hAnsi="宋体" w:eastAsia="宋体" w:cs="宋体"/>
          <w:color w:val="auto"/>
          <w:sz w:val="24"/>
          <w:szCs w:val="24"/>
        </w:rPr>
        <w:t>.00</w:t>
      </w:r>
      <w:r>
        <w:rPr>
          <w:rFonts w:hint="eastAsia" w:ascii="宋体" w:hAnsi="宋体" w:eastAsia="宋体" w:cs="宋体"/>
          <w:color w:val="auto"/>
          <w:sz w:val="24"/>
          <w:szCs w:val="24"/>
        </w:rPr>
        <w:t>元</w:t>
      </w:r>
      <w:r>
        <w:rPr>
          <w:rFonts w:ascii="宋体" w:hAnsi="宋体" w:eastAsia="宋体" w:cs="宋体"/>
          <w:color w:val="auto"/>
          <w:sz w:val="24"/>
          <w:szCs w:val="24"/>
        </w:rPr>
        <w:t>/</w:t>
      </w:r>
      <w:r>
        <w:rPr>
          <w:rFonts w:hint="eastAsia" w:ascii="宋体" w:hAnsi="宋体" w:eastAsia="宋体" w:cs="宋体"/>
          <w:color w:val="auto"/>
          <w:sz w:val="24"/>
          <w:szCs w:val="24"/>
        </w:rPr>
        <w:t>份，该采购文件费用无论是否成交均不予退回，并以现金的形式在递交磋商响应文件时交纳给采购代理机构。</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无论磋商过程和结果如何，供应商自行承担与本项目磋商有关的全部费用。</w:t>
      </w:r>
    </w:p>
    <w:p>
      <w:pPr>
        <w:snapToGrid w:val="0"/>
        <w:spacing w:line="420" w:lineRule="exact"/>
        <w:ind w:firstLine="496" w:firstLineChars="206"/>
        <w:outlineLvl w:val="1"/>
        <w:rPr>
          <w:rFonts w:ascii="宋体" w:hAnsi="宋体" w:eastAsia="宋体"/>
          <w:b/>
          <w:bCs/>
          <w:color w:val="auto"/>
          <w:sz w:val="24"/>
          <w:szCs w:val="24"/>
        </w:rPr>
      </w:pPr>
      <w:r>
        <w:rPr>
          <w:rFonts w:hint="eastAsia" w:ascii="宋体" w:hAnsi="宋体" w:eastAsia="宋体" w:cs="宋体"/>
          <w:b/>
          <w:bCs/>
          <w:color w:val="auto"/>
          <w:sz w:val="24"/>
          <w:szCs w:val="24"/>
        </w:rPr>
        <w:t>十二、履约保证金</w:t>
      </w:r>
    </w:p>
    <w:p>
      <w:pPr>
        <w:snapToGrid w:val="0"/>
        <w:spacing w:line="420" w:lineRule="exact"/>
        <w:ind w:firstLine="480" w:firstLineChars="200"/>
        <w:rPr>
          <w:rFonts w:ascii="宋体" w:hAnsi="宋体" w:eastAsia="宋体"/>
          <w:color w:val="auto"/>
          <w:sz w:val="24"/>
          <w:szCs w:val="24"/>
          <w:lang w:val="zh-CN"/>
        </w:rPr>
      </w:pPr>
      <w:r>
        <w:rPr>
          <w:rFonts w:ascii="宋体" w:hAnsi="宋体" w:eastAsia="宋体" w:cs="宋体"/>
          <w:color w:val="auto"/>
          <w:sz w:val="24"/>
          <w:szCs w:val="24"/>
          <w:lang w:val="zh-CN"/>
        </w:rPr>
        <w:t>1.</w:t>
      </w:r>
      <w:r>
        <w:rPr>
          <w:rFonts w:hint="eastAsia" w:ascii="宋体" w:hAnsi="宋体" w:eastAsia="宋体" w:cs="宋体"/>
          <w:color w:val="auto"/>
          <w:sz w:val="24"/>
          <w:szCs w:val="24"/>
          <w:lang w:val="zh-CN"/>
        </w:rPr>
        <w:t>本项目成交后的履约</w:t>
      </w:r>
      <w:r>
        <w:rPr>
          <w:rFonts w:hint="eastAsia" w:ascii="宋体" w:hAnsi="宋体" w:eastAsia="宋体" w:cs="宋体"/>
          <w:color w:val="auto"/>
          <w:sz w:val="24"/>
          <w:szCs w:val="24"/>
        </w:rPr>
        <w:t>保证金</w:t>
      </w:r>
      <w:r>
        <w:rPr>
          <w:rFonts w:hint="eastAsia" w:ascii="宋体" w:hAnsi="宋体" w:eastAsia="宋体" w:cs="宋体"/>
          <w:color w:val="auto"/>
          <w:sz w:val="24"/>
          <w:szCs w:val="24"/>
          <w:lang w:val="zh-CN"/>
        </w:rPr>
        <w:t>为项目合同总价款的</w:t>
      </w:r>
      <w:r>
        <w:rPr>
          <w:rFonts w:ascii="宋体" w:hAnsi="宋体" w:eastAsia="宋体" w:cs="宋体"/>
          <w:color w:val="auto"/>
          <w:sz w:val="24"/>
          <w:szCs w:val="24"/>
          <w:u w:val="single"/>
        </w:rPr>
        <w:t>10</w:t>
      </w:r>
      <w:r>
        <w:rPr>
          <w:rFonts w:ascii="宋体" w:hAnsi="宋体" w:eastAsia="宋体" w:cs="宋体"/>
          <w:b/>
          <w:bCs/>
          <w:color w:val="auto"/>
          <w:sz w:val="24"/>
          <w:szCs w:val="24"/>
          <w:u w:val="single"/>
          <w:lang w:val="zh-CN"/>
        </w:rPr>
        <w:t xml:space="preserve">%  </w:t>
      </w:r>
      <w:r>
        <w:rPr>
          <w:rFonts w:hint="eastAsia" w:ascii="宋体" w:hAnsi="宋体" w:eastAsia="宋体" w:cs="宋体"/>
          <w:color w:val="auto"/>
          <w:sz w:val="24"/>
          <w:szCs w:val="24"/>
          <w:lang w:val="zh-CN"/>
        </w:rPr>
        <w:t>。</w:t>
      </w:r>
    </w:p>
    <w:p>
      <w:pPr>
        <w:snapToGrid w:val="0"/>
        <w:spacing w:line="420" w:lineRule="exact"/>
        <w:ind w:firstLine="480" w:firstLineChars="200"/>
        <w:rPr>
          <w:rFonts w:ascii="宋体" w:hAnsi="宋体" w:eastAsia="宋体"/>
          <w:color w:val="auto"/>
          <w:sz w:val="24"/>
          <w:szCs w:val="24"/>
          <w:lang w:val="zh-CN"/>
        </w:rPr>
      </w:pPr>
      <w:r>
        <w:rPr>
          <w:rFonts w:ascii="宋体" w:hAnsi="宋体" w:eastAsia="宋体" w:cs="宋体"/>
          <w:color w:val="auto"/>
          <w:sz w:val="24"/>
          <w:szCs w:val="24"/>
          <w:lang w:val="zh-CN"/>
        </w:rPr>
        <w:t>2.</w:t>
      </w:r>
      <w:r>
        <w:rPr>
          <w:rFonts w:hint="eastAsia" w:ascii="宋体" w:hAnsi="宋体" w:eastAsia="宋体" w:cs="宋体"/>
          <w:color w:val="auto"/>
          <w:sz w:val="24"/>
          <w:szCs w:val="24"/>
          <w:lang w:val="zh-CN"/>
        </w:rPr>
        <w:t>在《成交通知书》发出签收后</w:t>
      </w:r>
      <w:r>
        <w:rPr>
          <w:rFonts w:ascii="宋体" w:hAnsi="宋体" w:eastAsia="宋体" w:cs="宋体"/>
          <w:b/>
          <w:bCs/>
          <w:color w:val="auto"/>
          <w:sz w:val="24"/>
          <w:szCs w:val="24"/>
          <w:u w:val="single"/>
        </w:rPr>
        <w:t>5</w:t>
      </w:r>
      <w:r>
        <w:rPr>
          <w:rFonts w:hint="eastAsia" w:ascii="宋体" w:hAnsi="宋体" w:eastAsia="宋体" w:cs="宋体"/>
          <w:color w:val="auto"/>
          <w:sz w:val="24"/>
          <w:szCs w:val="24"/>
          <w:lang w:val="zh-CN"/>
        </w:rPr>
        <w:t>个日历天内，中标人凭《成交通知书》和履约保证金已经汇至采购人账上的凭证，与采购人签订合同，超期或未有协商，则视为自动放弃中标资格。</w:t>
      </w:r>
    </w:p>
    <w:p>
      <w:pPr>
        <w:snapToGrid w:val="0"/>
        <w:spacing w:line="420" w:lineRule="exact"/>
        <w:ind w:firstLine="480" w:firstLineChars="200"/>
        <w:rPr>
          <w:rFonts w:ascii="宋体" w:hAnsi="宋体" w:eastAsia="宋体"/>
          <w:color w:val="auto"/>
          <w:sz w:val="24"/>
          <w:szCs w:val="24"/>
          <w:lang w:val="zh-CN"/>
        </w:rPr>
      </w:pPr>
      <w:r>
        <w:rPr>
          <w:rFonts w:ascii="宋体" w:hAnsi="宋体" w:eastAsia="宋体" w:cs="宋体"/>
          <w:color w:val="auto"/>
          <w:sz w:val="24"/>
          <w:szCs w:val="24"/>
          <w:lang w:val="zh-CN"/>
        </w:rPr>
        <w:t>3.</w:t>
      </w:r>
      <w:r>
        <w:rPr>
          <w:rFonts w:hint="eastAsia" w:ascii="宋体" w:hAnsi="宋体" w:eastAsia="宋体" w:cs="宋体"/>
          <w:color w:val="auto"/>
          <w:sz w:val="24"/>
          <w:szCs w:val="24"/>
          <w:lang w:val="zh-CN"/>
        </w:rPr>
        <w:t>中标人按要求保质保量的完成该项目且通过最终验收后，一次性无息退还履约保证金。</w:t>
      </w:r>
    </w:p>
    <w:p>
      <w:pPr>
        <w:snapToGrid w:val="0"/>
        <w:spacing w:line="420" w:lineRule="exact"/>
        <w:ind w:firstLine="480" w:firstLineChars="200"/>
        <w:rPr>
          <w:rFonts w:ascii="宋体" w:hAnsi="宋体" w:eastAsia="宋体"/>
          <w:color w:val="auto"/>
          <w:sz w:val="24"/>
          <w:szCs w:val="24"/>
          <w:lang w:val="zh-CN"/>
        </w:rPr>
      </w:pPr>
      <w:r>
        <w:rPr>
          <w:rFonts w:ascii="宋体" w:hAnsi="宋体" w:eastAsia="宋体" w:cs="宋体"/>
          <w:color w:val="auto"/>
          <w:sz w:val="24"/>
          <w:szCs w:val="24"/>
          <w:lang w:val="zh-CN"/>
        </w:rPr>
        <w:t>4.</w:t>
      </w:r>
      <w:r>
        <w:rPr>
          <w:rFonts w:hint="eastAsia" w:ascii="宋体" w:hAnsi="宋体" w:eastAsia="宋体" w:cs="宋体"/>
          <w:color w:val="auto"/>
          <w:sz w:val="24"/>
          <w:szCs w:val="24"/>
          <w:lang w:val="zh-CN"/>
        </w:rPr>
        <w:t>因中标人原因，签订合同后出现不按合同履行的情况，采购人有权将履约保证金作为违约金，全额不予退还，同时采购人亦有权终止合同，中标人还须依法承担相应的赔偿责任。</w:t>
      </w:r>
    </w:p>
    <w:p>
      <w:pPr>
        <w:snapToGrid w:val="0"/>
        <w:spacing w:line="420" w:lineRule="exact"/>
        <w:ind w:firstLine="496" w:firstLineChars="206"/>
        <w:outlineLvl w:val="1"/>
        <w:rPr>
          <w:rFonts w:ascii="宋体" w:hAnsi="宋体" w:eastAsia="宋体"/>
          <w:b/>
          <w:bCs/>
          <w:color w:val="auto"/>
          <w:sz w:val="24"/>
          <w:szCs w:val="24"/>
        </w:rPr>
      </w:pPr>
      <w:r>
        <w:rPr>
          <w:rFonts w:hint="eastAsia" w:ascii="宋体" w:hAnsi="宋体" w:eastAsia="宋体" w:cs="宋体"/>
          <w:b/>
          <w:bCs/>
          <w:color w:val="auto"/>
          <w:sz w:val="24"/>
          <w:szCs w:val="24"/>
        </w:rPr>
        <w:t>十三、服务量的调整及结算方式</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如因采购人实际需求，服务量发生变化，</w:t>
      </w:r>
      <w:r>
        <w:rPr>
          <w:rFonts w:hint="eastAsia" w:ascii="宋体" w:hAnsi="宋体" w:eastAsia="宋体" w:cs="宋体"/>
          <w:color w:val="auto"/>
          <w:sz w:val="24"/>
          <w:szCs w:val="24"/>
          <w:lang w:val="zh-CN"/>
        </w:rPr>
        <w:t>中标人</w:t>
      </w:r>
      <w:r>
        <w:rPr>
          <w:rFonts w:hint="eastAsia" w:ascii="宋体" w:hAnsi="宋体" w:eastAsia="宋体" w:cs="宋体"/>
          <w:color w:val="auto"/>
          <w:sz w:val="24"/>
          <w:szCs w:val="24"/>
        </w:rPr>
        <w:t>须无条件满足采购人需求，确保服务质量并及时提供服务。</w:t>
      </w:r>
    </w:p>
    <w:p>
      <w:pPr>
        <w:snapToGrid w:val="0"/>
        <w:spacing w:line="420" w:lineRule="exact"/>
        <w:ind w:firstLine="494" w:firstLineChars="206"/>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结算时按实际服务量进行结算，综合单价不变。若成交总价与项目首次磋商响应报价明细表中的综合单价不符，则按比例拆分到综合单价。</w:t>
      </w:r>
    </w:p>
    <w:p>
      <w:pPr>
        <w:snapToGrid w:val="0"/>
        <w:spacing w:line="420" w:lineRule="exact"/>
        <w:ind w:firstLine="496" w:firstLineChars="206"/>
        <w:outlineLvl w:val="1"/>
        <w:rPr>
          <w:rFonts w:ascii="宋体" w:hAnsi="宋体" w:eastAsia="宋体"/>
          <w:b/>
          <w:bCs/>
          <w:color w:val="auto"/>
          <w:sz w:val="24"/>
          <w:szCs w:val="24"/>
        </w:rPr>
      </w:pPr>
      <w:r>
        <w:rPr>
          <w:rFonts w:hint="eastAsia" w:ascii="宋体" w:hAnsi="宋体" w:eastAsia="宋体" w:cs="宋体"/>
          <w:b/>
          <w:bCs/>
          <w:color w:val="auto"/>
          <w:sz w:val="24"/>
          <w:szCs w:val="24"/>
        </w:rPr>
        <w:t>十四、付款方式</w:t>
      </w:r>
    </w:p>
    <w:p>
      <w:pPr>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、付款方式不接受负偏离及任何意图改变付款方式的意图表达，否则作无效磋商处理。</w:t>
      </w:r>
    </w:p>
    <w:p>
      <w:pPr>
        <w:snapToGrid w:val="0"/>
        <w:spacing w:line="420" w:lineRule="exact"/>
        <w:ind w:firstLine="480" w:firstLineChars="200"/>
        <w:outlineLvl w:val="1"/>
        <w:rPr>
          <w:rFonts w:ascii="宋体" w:hAnsi="宋体" w:eastAsia="宋体"/>
          <w:color w:val="auto"/>
          <w:sz w:val="24"/>
          <w:szCs w:val="24"/>
          <w:lang w:val="zh-CN"/>
        </w:rPr>
      </w:pPr>
      <w:r>
        <w:rPr>
          <w:rFonts w:ascii="宋体" w:hAnsi="宋体" w:eastAsia="宋体" w:cs="宋体"/>
          <w:color w:val="auto"/>
          <w:sz w:val="24"/>
          <w:szCs w:val="24"/>
        </w:rPr>
        <w:t>2</w:t>
      </w:r>
      <w:r>
        <w:rPr>
          <w:rFonts w:hint="eastAsia" w:ascii="宋体" w:hAnsi="宋体" w:eastAsia="宋体" w:cs="宋体"/>
          <w:color w:val="auto"/>
          <w:sz w:val="24"/>
          <w:szCs w:val="24"/>
        </w:rPr>
        <w:t>、双方合同签订后，中标人交付全部施工图设计文件并通过审查，项目竣工验收合格后付至合同总额的</w:t>
      </w:r>
      <w:r>
        <w:rPr>
          <w:rFonts w:ascii="宋体" w:hAnsi="宋体" w:eastAsia="宋体" w:cs="宋体"/>
          <w:color w:val="auto"/>
          <w:sz w:val="24"/>
          <w:szCs w:val="24"/>
        </w:rPr>
        <w:t>95%</w:t>
      </w:r>
      <w:r>
        <w:rPr>
          <w:rFonts w:hint="eastAsia" w:ascii="宋体" w:hAnsi="宋体" w:eastAsia="宋体" w:cs="宋体"/>
          <w:color w:val="auto"/>
          <w:sz w:val="24"/>
          <w:szCs w:val="24"/>
        </w:rPr>
        <w:t>，余款待质保期满后</w:t>
      </w:r>
      <w:r>
        <w:rPr>
          <w:rFonts w:ascii="宋体" w:hAnsi="宋体" w:eastAsia="宋体" w:cs="宋体"/>
          <w:color w:val="auto"/>
          <w:sz w:val="24"/>
          <w:szCs w:val="24"/>
        </w:rPr>
        <w:t>30</w:t>
      </w:r>
      <w:r>
        <w:rPr>
          <w:rFonts w:hint="eastAsia" w:ascii="宋体" w:hAnsi="宋体" w:eastAsia="宋体" w:cs="宋体"/>
          <w:color w:val="auto"/>
          <w:sz w:val="24"/>
          <w:szCs w:val="24"/>
        </w:rPr>
        <w:t>日</w:t>
      </w:r>
      <w:r>
        <w:rPr>
          <w:rFonts w:hint="eastAsia" w:ascii="宋体" w:hAnsi="宋体" w:eastAsia="宋体" w:cs="宋体"/>
          <w:color w:val="auto"/>
          <w:sz w:val="24"/>
          <w:szCs w:val="24"/>
          <w:lang w:val="zh-CN"/>
        </w:rPr>
        <w:t>内一次性无息付清。</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十五、知识产权</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供应商必须保证所提供的服务涉及到的知识产权为合法取得，并享有完整的知识产权，不会因为采购人的使用而被责令停止使用、追偿或要求赔偿损失，如出现此情况，一切经济和法律责任均由供应商承担。</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十六、未尽事宜</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按《中华人民共和国政府采购法》及《政府采购竞争性磋商采购方式管理暂行办法》与其他有关法律法规的规定执行。</w:t>
      </w: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Chars="175"/>
        <w:rPr>
          <w:rFonts w:cs="Times New Roman"/>
          <w:color w:val="auto"/>
        </w:rPr>
      </w:pPr>
    </w:p>
    <w:p>
      <w:pPr>
        <w:pStyle w:val="2"/>
        <w:spacing w:before="120"/>
        <w:ind w:firstLine="0" w:firstLineChars="0"/>
        <w:rPr>
          <w:rFonts w:cs="Times New Roman"/>
          <w:color w:val="auto"/>
        </w:rPr>
      </w:pPr>
    </w:p>
    <w:p>
      <w:pPr>
        <w:pStyle w:val="2"/>
        <w:numPr>
          <w:ilvl w:val="0"/>
          <w:numId w:val="2"/>
        </w:numPr>
        <w:spacing w:before="120"/>
        <w:ind w:firstLine="0" w:firstLineChars="0"/>
        <w:jc w:val="center"/>
        <w:rPr>
          <w:rFonts w:hint="eastAsia" w:ascii="宋体" w:hAnsi="宋体" w:eastAsia="宋体" w:cs="宋体"/>
          <w:b/>
          <w:bCs/>
          <w:color w:val="auto"/>
          <w:w w:val="80"/>
          <w:sz w:val="36"/>
          <w:szCs w:val="36"/>
        </w:rPr>
      </w:pPr>
      <w:r>
        <w:rPr>
          <w:rFonts w:hint="eastAsia" w:ascii="宋体" w:hAnsi="宋体" w:eastAsia="宋体" w:cs="宋体"/>
          <w:b/>
          <w:bCs/>
          <w:color w:val="auto"/>
          <w:w w:val="80"/>
          <w:sz w:val="36"/>
          <w:szCs w:val="36"/>
          <w:lang w:val="en-US" w:eastAsia="zh-CN"/>
        </w:rPr>
        <w:t xml:space="preserve"> </w:t>
      </w:r>
      <w:r>
        <w:rPr>
          <w:rFonts w:hint="eastAsia" w:ascii="宋体" w:hAnsi="宋体" w:eastAsia="宋体" w:cs="宋体"/>
          <w:b/>
          <w:bCs/>
          <w:color w:val="auto"/>
          <w:w w:val="80"/>
          <w:sz w:val="36"/>
          <w:szCs w:val="36"/>
        </w:rPr>
        <w:t>项目需求</w:t>
      </w:r>
    </w:p>
    <w:p>
      <w:pPr>
        <w:spacing w:line="420" w:lineRule="exact"/>
        <w:jc w:val="center"/>
        <w:rPr>
          <w:rFonts w:ascii="宋体" w:hAnsi="宋体" w:eastAsia="宋体" w:cs="宋体"/>
          <w:b/>
          <w:bCs/>
          <w:color w:val="auto"/>
          <w:sz w:val="24"/>
          <w:szCs w:val="24"/>
        </w:rPr>
      </w:pPr>
      <w:r>
        <w:rPr>
          <w:rFonts w:hint="eastAsia" w:ascii="宋体" w:hAnsi="宋体" w:eastAsia="宋体" w:cs="宋体"/>
          <w:b/>
          <w:bCs/>
          <w:color w:val="auto"/>
          <w:sz w:val="24"/>
          <w:szCs w:val="24"/>
        </w:rPr>
        <w:t>第一部分  项目基本情况</w:t>
      </w:r>
    </w:p>
    <w:p>
      <w:pPr>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项目名称：南通市老干部党性教育陈列展示馆设计施工项目。</w:t>
      </w:r>
    </w:p>
    <w:p>
      <w:pPr>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项目地址与范围：南通市老干部活动中心（市环城南路</w:t>
      </w:r>
      <w:r>
        <w:rPr>
          <w:rFonts w:ascii="宋体" w:hAnsi="宋体" w:eastAsia="宋体" w:cs="宋体"/>
          <w:color w:val="auto"/>
          <w:sz w:val="24"/>
          <w:szCs w:val="24"/>
        </w:rPr>
        <w:t>23</w:t>
      </w:r>
      <w:r>
        <w:rPr>
          <w:rFonts w:hint="eastAsia" w:ascii="宋体" w:hAnsi="宋体" w:eastAsia="宋体" w:cs="宋体"/>
          <w:color w:val="auto"/>
          <w:sz w:val="24"/>
          <w:szCs w:val="24"/>
        </w:rPr>
        <w:t>号）知行楼2楼。</w:t>
      </w:r>
    </w:p>
    <w:p>
      <w:pPr>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预算金额：</w:t>
      </w:r>
      <w:r>
        <w:rPr>
          <w:rFonts w:ascii="宋体" w:hAnsi="宋体" w:eastAsia="宋体" w:cs="宋体"/>
          <w:color w:val="auto"/>
          <w:sz w:val="24"/>
          <w:szCs w:val="24"/>
        </w:rPr>
        <w:t>2</w:t>
      </w:r>
      <w:r>
        <w:rPr>
          <w:rFonts w:hint="eastAsia" w:ascii="宋体" w:hAnsi="宋体" w:eastAsia="宋体" w:cs="宋体"/>
          <w:color w:val="auto"/>
          <w:sz w:val="24"/>
          <w:szCs w:val="24"/>
        </w:rPr>
        <w:t>0万元。</w:t>
      </w:r>
      <w:bookmarkStart w:id="15" w:name="_GoBack"/>
      <w:bookmarkEnd w:id="15"/>
    </w:p>
    <w:p>
      <w:pPr>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合同履行期限：合同签订后3</w:t>
      </w:r>
      <w:r>
        <w:rPr>
          <w:rFonts w:ascii="宋体" w:hAnsi="宋体" w:eastAsia="宋体" w:cs="宋体"/>
          <w:color w:val="auto"/>
          <w:sz w:val="24"/>
          <w:szCs w:val="24"/>
        </w:rPr>
        <w:t>0</w:t>
      </w:r>
      <w:r>
        <w:rPr>
          <w:rFonts w:hint="eastAsia" w:ascii="宋体" w:hAnsi="宋体" w:eastAsia="宋体" w:cs="宋体"/>
          <w:color w:val="auto"/>
          <w:sz w:val="24"/>
          <w:szCs w:val="24"/>
        </w:rPr>
        <w:t>个日历天内完成交货并安装调试。</w:t>
      </w:r>
    </w:p>
    <w:p>
      <w:pPr>
        <w:spacing w:line="420" w:lineRule="exact"/>
        <w:ind w:firstLine="482" w:firstLineChars="200"/>
        <w:rPr>
          <w:rFonts w:ascii="宋体" w:hAnsi="宋体" w:eastAsia="宋体" w:cs="宋体"/>
          <w:b/>
          <w:bCs/>
          <w:color w:val="auto"/>
          <w:sz w:val="24"/>
          <w:szCs w:val="24"/>
        </w:rPr>
      </w:pPr>
    </w:p>
    <w:p>
      <w:pPr>
        <w:spacing w:line="420" w:lineRule="exact"/>
        <w:jc w:val="center"/>
        <w:rPr>
          <w:rFonts w:ascii="宋体" w:hAnsi="宋体" w:eastAsia="宋体"/>
          <w:b/>
          <w:bCs/>
          <w:color w:val="auto"/>
          <w:sz w:val="24"/>
          <w:szCs w:val="24"/>
        </w:rPr>
      </w:pPr>
      <w:r>
        <w:rPr>
          <w:rFonts w:hint="eastAsia" w:ascii="宋体" w:hAnsi="宋体" w:eastAsia="宋体" w:cs="宋体"/>
          <w:b/>
          <w:bCs/>
          <w:color w:val="auto"/>
          <w:sz w:val="24"/>
          <w:szCs w:val="24"/>
        </w:rPr>
        <w:t>第二部分  采购项目需求</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南通市老干部党性教育陈列展示馆位于南通市老干部活动中心（老干部党校）知行楼二楼。本项目旨在利用有限的室内展陈空间和部分走廊墙面，浓缩红色文化、党史教育、地方建设成就、工作展示等内容，建成小巧、精致、特色鲜明的老干部思想政治教育、老干部工作宣传展示平台。</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一、功能定位</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学习教育。贯彻落实习近平总书记关于老干部工作重要论述精神，同时按照深入开展党史学习教育的部署要求，讲好党的历史、革命精神、英雄的故事、南通的故事，切实加强老干部群体党性教育、信仰教育，有效提升政治引领下老干部持续发挥优势作用的成效。</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（二）展示宣传。集中展示南通市老干部工作发展历程、现状和经验成就、成果荣誉，扩大工作影响和知名度，营造社会各界特别是广大老干部和老干部工作者熟悉、关心、支持老干部工作的良好氛围。</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二、展陈内容</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作为老干部党性教育陈列展示馆的有机组成部分，知行楼二楼大走廊西头电梯间南侧，此前已有部分党建文化布置内容（党的建设总要求等），大走廊北侧墙面已预留展示宣传空间并有基础设置。本项目主要实施内容有：</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（一）展馆名牌和前言版块</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大走廊南侧墙面（可用墙体面积约16.74㎡，通长6.2m、高2.7m），用亚克力等材料设置展馆名牌、前言、南通市红色传统教育资源分布示意图。</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（二）西侧房间（地面面积约44.2 ㎡，可用墙体面积约64.67 ㎡，需封闭窗户）</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1.宣誓墙/江海英烈（英模）谱。室内中央设置南北走向隔断墙（不到顶，约3.2m×2m），正面为入党誓词背景，背面为10位左右江海英烈代表人物（如吴亚鲁等）的简要图文介绍。</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2.中共简明党史。限于幅面，选取中国共产党百年历程中重大历史事件进行介绍。</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3.南通地方党史和建设成就。限于幅面，选取南通地方史重大事件和重要成就进行介绍。</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（以上2、3可根据实际情况有机融合，特别注意介绍老同志在其中的革命事迹、斗争经历和工作业绩）</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4.习总书记视察南通图文展示。2020年11月习总书记在通考察滨江片区和张謇生平事迹展陈的照片及文字介绍。</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（三）小走廊（中间过道）墙面（可用墙体面积约27 ㎡）</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党和国家领导人关于老干部工作重要论述。依托墙面，以4cm型材高清软膜灯箱等形式呈现。</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（四）东侧房间（地面面积约30.6 ㎡，可用墙体面积约55 ㎡）</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1.领导重视。各级领导关心重视南通老干部工作的考察、会议、慰问等照片和文字介绍。</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2.南通老干部工作发展历程。发展脉络大事记（时间轴，图片配文字）、历任局领导班子、老干部数据（离退休干部数量变化情况、党建基础数据）等。</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3.“五大工程”成果展示。图文展示深化“六有一提升”“银发生辉·心耀江海”“服务保障”“红色基因传承”“内强素质·外树形象”五大工程成果。</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4.荣誉展示。集中展示历年来所获市级及以上重大荣誉。</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5.老干部先进群体“南通现象”展示墙。室内中央设置南北（或东西）走向隔断墙（不到顶，约3.2m×2m或2.5m×2m），两面为离退休干部先进典型、党建品牌、优秀志愿服务团队简要图文介绍。</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（五）党史学习教育专题版块</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大走廊北侧墙面，已有可抽插式基础装置，需设计制作4块KT板（每块长约2m，高约1m）。集中展示党史学习教育工作要求和全市老干部工作部门深入开展党史学习教育的最新动态成果。</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（六）其他</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大走廊南侧剩余墙面（窗户之间），布置部分红色文化主题书画作品。</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三、展陈手段</w:t>
      </w:r>
    </w:p>
    <w:p>
      <w:pPr>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以高清无缝纤维定制墙布画面为主，充分利用空间形成新颖立体造型，同时考虑设置多媒体发布系统或可翻转式设计，以丰富展示内容。雕刻字采用厚度不小于5mm亚克力UV。多层板厚度不小于15mm、石膏板厚度不小于9.5mm且符合环保防火要求。</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（二）东、西两展室各悬挂液晶电视1台，用于播放各类专题片；各设1台触摸式电子查询设备，以增加展示内容；设1台留言设备，体现互动功能。</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（三）东、西两展室窗户全封闭以增加展陈面积，调整入口设置，增装新入口大门。</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（四）室内格栅吊顶，隔断墙采用轻钢龙骨，地面敷设地胶（方毯），合理配置射灯和LED照明，须符合节能要求，具有安全认证。</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四、设计施工标准、要求</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（一）安全可靠。设计施工坚持全过程安全至上，充分考虑并杜绝小概率安全隐患。优先使用防火阻燃等级高的材料。不破坏原有建筑结构，不影响建筑部件稳固度，确保用电安全和展陈物稳固。</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（二）环保节能。装修装饰材料须环保节能，方便日常清洁和维护保养；尽量循环利用，在可预见其变化的展陈位置，设计为抽插式可更换设置。</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（三）科学适用。内容编排科学合理，展陈尺寸、图文比例、参观动线等符合视觉习惯，力争给参观者留下深刻印象。充分考虑各种场景（人数、年龄等），优化沉浸式体验效果。</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（四）美观协调。政治性和艺术性和谐统一，既旗帜鲜明弘扬红色文化，又有机融入江海文化元素，符合现代视觉审美需求，让参观者自觉接受政治信仰洗礼、党性教育熏陶。</w:t>
      </w:r>
    </w:p>
    <w:p>
      <w:pPr>
        <w:spacing w:line="420" w:lineRule="exact"/>
        <w:jc w:val="center"/>
        <w:rPr>
          <w:rFonts w:ascii="宋体" w:hAnsi="宋体" w:eastAsia="宋体" w:cs="宋体"/>
          <w:b/>
          <w:color w:val="auto"/>
          <w:sz w:val="24"/>
          <w:szCs w:val="24"/>
        </w:rPr>
      </w:pPr>
    </w:p>
    <w:p>
      <w:pPr>
        <w:spacing w:line="420" w:lineRule="exact"/>
        <w:jc w:val="center"/>
        <w:rPr>
          <w:rFonts w:ascii="宋体" w:hAnsi="宋体" w:eastAsia="宋体"/>
          <w:b/>
          <w:bCs/>
          <w:color w:val="auto"/>
          <w:sz w:val="24"/>
          <w:szCs w:val="24"/>
        </w:rPr>
      </w:pPr>
      <w:r>
        <w:rPr>
          <w:rFonts w:hint="eastAsia" w:ascii="宋体" w:hAnsi="宋体" w:eastAsia="宋体" w:cs="宋体"/>
          <w:b/>
          <w:color w:val="auto"/>
          <w:sz w:val="24"/>
          <w:szCs w:val="24"/>
        </w:rPr>
        <w:t>第</w:t>
      </w:r>
      <w:r>
        <w:rPr>
          <w:rFonts w:hint="eastAsia" w:ascii="宋体" w:hAnsi="宋体" w:eastAsia="宋体" w:cs="宋体"/>
          <w:b/>
          <w:bCs/>
          <w:color w:val="auto"/>
          <w:sz w:val="24"/>
          <w:szCs w:val="24"/>
        </w:rPr>
        <w:t>三部分  现场勘察</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（一）根据自身需要，供应商应在在磋商文件递交日前自行对有关现场和周围环境进行勘察，以获取编制磋商响应文件所需的信息。勘察现场如有费用产生，由供应商自行承担。</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（二）勘察现场联系人：陈建军，联系电话：</w:t>
      </w:r>
      <w:r>
        <w:rPr>
          <w:rFonts w:ascii="宋体" w:hAnsi="宋体" w:eastAsia="宋体" w:cs="宋体"/>
          <w:color w:val="auto"/>
          <w:sz w:val="24"/>
          <w:szCs w:val="24"/>
        </w:rPr>
        <w:t>15162775529</w:t>
      </w:r>
      <w:r>
        <w:rPr>
          <w:rFonts w:hint="eastAsia" w:ascii="宋体" w:hAnsi="宋体" w:eastAsia="宋体" w:cs="宋体"/>
          <w:color w:val="auto"/>
          <w:sz w:val="24"/>
          <w:szCs w:val="24"/>
        </w:rPr>
        <w:t>。</w:t>
      </w:r>
    </w:p>
    <w:p>
      <w:pPr>
        <w:pStyle w:val="2"/>
        <w:spacing w:before="120"/>
        <w:ind w:firstLine="480" w:firstLineChars="200"/>
        <w:rPr>
          <w:rFonts w:ascii="宋体" w:hAnsi="宋体" w:eastAsia="宋体" w:cs="Times New Roman"/>
          <w:color w:val="auto"/>
        </w:rPr>
        <w:sectPr>
          <w:pgSz w:w="11906" w:h="16838"/>
          <w:pgMar w:top="1276" w:right="851" w:bottom="709" w:left="1418" w:header="851" w:footer="448" w:gutter="0"/>
          <w:cols w:space="720" w:num="1"/>
          <w:docGrid w:linePitch="380" w:charSpace="-5735"/>
        </w:sect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bookmarkStart w:id="6" w:name="_Toc13543213"/>
      <w:r>
        <w:rPr>
          <w:rFonts w:hint="eastAsia" w:ascii="宋体" w:hAnsi="宋体" w:eastAsia="宋体" w:cs="宋体"/>
          <w:b/>
          <w:bCs/>
          <w:color w:val="auto"/>
          <w:w w:val="80"/>
          <w:sz w:val="36"/>
          <w:szCs w:val="36"/>
        </w:rPr>
        <w:t>第四章</w:t>
      </w:r>
      <w:bookmarkStart w:id="7" w:name="_Toc182848996"/>
      <w:r>
        <w:rPr>
          <w:rFonts w:hint="eastAsia" w:ascii="宋体" w:hAnsi="宋体" w:eastAsia="宋体" w:cs="宋体"/>
          <w:b/>
          <w:bCs/>
          <w:color w:val="auto"/>
          <w:w w:val="80"/>
          <w:sz w:val="36"/>
          <w:szCs w:val="36"/>
        </w:rPr>
        <w:t>评审程序和方法</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一、采购人委托采购代理机构组织磋商</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本次竞争性磋商依据《中华人民共和国政府采购法》、《政府采购竞争性磋商采购方式管理暂行办法》及相关法规，依法成立磋商小组。磋商小组由采购人代表和评审专家共计</w:t>
      </w:r>
      <w:r>
        <w:rPr>
          <w:rFonts w:ascii="宋体" w:hAnsi="宋体" w:eastAsia="宋体" w:cs="宋体"/>
          <w:color w:val="auto"/>
          <w:sz w:val="24"/>
          <w:szCs w:val="24"/>
        </w:rPr>
        <w:t>3</w:t>
      </w:r>
      <w:r>
        <w:rPr>
          <w:rFonts w:hint="eastAsia" w:ascii="宋体" w:hAnsi="宋体" w:eastAsia="宋体" w:cs="宋体"/>
          <w:color w:val="auto"/>
          <w:sz w:val="24"/>
          <w:szCs w:val="24"/>
        </w:rPr>
        <w:t>人组成。</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采用竞争性磋商方式的政府采购项目，评审专家应当从</w:t>
      </w:r>
      <w:r>
        <w:rPr>
          <w:rFonts w:hint="eastAsia" w:ascii="宋体" w:hAnsi="宋体" w:eastAsia="宋体" w:cs="宋体"/>
          <w:color w:val="auto"/>
          <w:sz w:val="24"/>
          <w:szCs w:val="24"/>
          <w:lang w:val="en-US" w:eastAsia="zh-CN"/>
        </w:rPr>
        <w:t>江苏省</w:t>
      </w:r>
      <w:r>
        <w:rPr>
          <w:rFonts w:hint="eastAsia" w:ascii="宋体" w:hAnsi="宋体" w:eastAsia="宋体" w:cs="宋体"/>
          <w:color w:val="auto"/>
          <w:sz w:val="24"/>
          <w:szCs w:val="24"/>
        </w:rPr>
        <w:t>政府采购评审专家库内相关专业的专家名单中随机抽取。</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二、竞争性磋商评审程序</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开标后，采购人依法根据竞争性磋商文件的规定和要求，对磋商响应供应商提供的资格证明材料是否齐全、是否符合竞争性磋商文件规定的资格要求进行审查，合格的进入评标磋商评审。</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磋商小组对符合资格条件的磋商响应供应商提交的磋商响应文件进行审查。重点审查磋商响应文件的有效性、完整性和实质性响应程度等。</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磋商小组如遇磋商响应文件中含义不明确、同类问题表述不一致或者有明显文字和计算错误的内容，可向磋商响应供应商质询。磋商响应供应商的澄清、说明或者补正，应当采用书面形式由磋商响应供应商代表签字，但不得超出竞争性磋商文件的范围或者改变其实质性内容。</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磋商过程中的任何一方不得透露与评标有关的其他磋商响应供应商技术资料、报价和有关信息。竞争性磋商文件有实质性变动的，磋商小组应以书面形式通知所有磋商响应供应商。</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磋商小组按竞争性磋商文件规定的评标方法和标准，对合格的磋商响应供应商的技术标响应文件进行评审评估，确定其是否进入“磋商”环节。</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6.</w:t>
      </w:r>
      <w:r>
        <w:rPr>
          <w:rFonts w:hint="eastAsia" w:ascii="宋体" w:hAnsi="宋体" w:eastAsia="宋体" w:cs="宋体"/>
          <w:color w:val="auto"/>
          <w:sz w:val="24"/>
          <w:szCs w:val="24"/>
        </w:rPr>
        <w:t>磋商小组对进入“磋商”环节的磋商响应供应商提供的“技术标”文件综合比较与评价后，技术方案确定满足磋商文件技术要求的供应商列为最终评审报价供应商并进入最终评审。否则，磋商小组评委成员须结合其首次磋商响应报价，集体与磋商响应供应商进行磋商，并经磋商确定最终采购需求和进入最后报价的磋商响应供应商。</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7.</w:t>
      </w:r>
      <w:r>
        <w:rPr>
          <w:rFonts w:hint="eastAsia" w:ascii="宋体" w:hAnsi="宋体" w:eastAsia="宋体" w:cs="宋体"/>
          <w:color w:val="auto"/>
          <w:sz w:val="24"/>
          <w:szCs w:val="24"/>
        </w:rPr>
        <w:t>磋商小组评委成员独立对每个入围最终评审的磋商响应供应商提供的磋商响应文件，按竞争性磋商文件载明的方法进行评审打分，确定其技术标得分。</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8.</w:t>
      </w:r>
      <w:r>
        <w:rPr>
          <w:rFonts w:hint="eastAsia" w:ascii="宋体" w:hAnsi="宋体" w:eastAsia="宋体" w:cs="宋体"/>
          <w:color w:val="auto"/>
          <w:sz w:val="24"/>
          <w:szCs w:val="24"/>
        </w:rPr>
        <w:t>磋商小组根据入围最终评审的磋商响应供应商的报价</w:t>
      </w:r>
      <w:r>
        <w:rPr>
          <w:rFonts w:ascii="宋体" w:hAnsi="宋体" w:eastAsia="宋体" w:cs="宋体"/>
          <w:color w:val="auto"/>
          <w:sz w:val="24"/>
          <w:szCs w:val="24"/>
        </w:rPr>
        <w:t>[</w:t>
      </w:r>
      <w:r>
        <w:rPr>
          <w:rFonts w:hint="eastAsia" w:ascii="宋体" w:hAnsi="宋体" w:eastAsia="宋体" w:cs="宋体"/>
          <w:color w:val="auto"/>
          <w:sz w:val="24"/>
          <w:szCs w:val="24"/>
        </w:rPr>
        <w:t>如磋商，才有现场二次报价（最终）</w:t>
      </w:r>
      <w:r>
        <w:rPr>
          <w:rFonts w:ascii="宋体" w:hAnsi="宋体" w:eastAsia="宋体" w:cs="宋体"/>
          <w:color w:val="auto"/>
          <w:sz w:val="24"/>
          <w:szCs w:val="24"/>
        </w:rPr>
        <w:t>]</w:t>
      </w:r>
      <w:r>
        <w:rPr>
          <w:rFonts w:hint="eastAsia" w:ascii="宋体" w:hAnsi="宋体" w:eastAsia="宋体" w:cs="宋体"/>
          <w:color w:val="auto"/>
          <w:sz w:val="24"/>
          <w:szCs w:val="24"/>
        </w:rPr>
        <w:t>价格，直接计算取得其价格标得分，并与其技术标得分相加为该磋商响应供应商的综合得分。磋商响应供应商的综合得分由高到低按序排列，综合得分最高的推荐为本次招标项目的成交人，并将结果通知所有磋商响应供应商。</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三、开标</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开标时间：</w:t>
      </w:r>
      <w:r>
        <w:rPr>
          <w:rFonts w:ascii="宋体" w:hAnsi="宋体" w:eastAsia="宋体" w:cs="宋体"/>
          <w:b/>
          <w:bCs/>
          <w:color w:val="auto"/>
          <w:sz w:val="24"/>
          <w:szCs w:val="24"/>
          <w:u w:val="thick" w:color="FF0000"/>
        </w:rPr>
        <w:t>202</w:t>
      </w:r>
      <w:r>
        <w:rPr>
          <w:rFonts w:hint="eastAsia" w:ascii="宋体" w:hAnsi="宋体" w:eastAsia="宋体" w:cs="宋体"/>
          <w:b/>
          <w:bCs/>
          <w:color w:val="auto"/>
          <w:sz w:val="24"/>
          <w:szCs w:val="24"/>
          <w:u w:val="thick" w:color="FF0000"/>
        </w:rPr>
        <w:t>1年</w:t>
      </w:r>
      <w:r>
        <w:rPr>
          <w:rFonts w:hint="eastAsia" w:ascii="宋体" w:hAnsi="宋体" w:eastAsia="宋体" w:cs="宋体"/>
          <w:b/>
          <w:bCs/>
          <w:color w:val="auto"/>
          <w:sz w:val="24"/>
          <w:szCs w:val="24"/>
          <w:u w:val="thick" w:color="FF0000"/>
          <w:lang w:val="en-US" w:eastAsia="zh-CN"/>
        </w:rPr>
        <w:t>10</w:t>
      </w:r>
      <w:r>
        <w:rPr>
          <w:rFonts w:hint="eastAsia" w:ascii="宋体" w:hAnsi="宋体" w:eastAsia="宋体" w:cs="宋体"/>
          <w:b/>
          <w:bCs/>
          <w:color w:val="auto"/>
          <w:sz w:val="24"/>
          <w:szCs w:val="24"/>
          <w:u w:val="thick" w:color="FF0000"/>
        </w:rPr>
        <w:t xml:space="preserve"> 月</w:t>
      </w:r>
      <w:r>
        <w:rPr>
          <w:rFonts w:hint="eastAsia" w:ascii="宋体" w:hAnsi="宋体" w:eastAsia="宋体" w:cs="宋体"/>
          <w:b/>
          <w:bCs/>
          <w:color w:val="auto"/>
          <w:sz w:val="24"/>
          <w:szCs w:val="24"/>
          <w:u w:val="thick" w:color="FF0000"/>
          <w:lang w:val="en-US" w:eastAsia="zh-CN"/>
        </w:rPr>
        <w:t>14</w:t>
      </w:r>
      <w:r>
        <w:rPr>
          <w:rFonts w:hint="eastAsia" w:ascii="宋体" w:hAnsi="宋体" w:eastAsia="宋体" w:cs="宋体"/>
          <w:b/>
          <w:bCs/>
          <w:color w:val="auto"/>
          <w:sz w:val="24"/>
          <w:szCs w:val="24"/>
          <w:u w:val="thick" w:color="FF0000"/>
        </w:rPr>
        <w:t>日上午9时30分</w:t>
      </w:r>
      <w:r>
        <w:rPr>
          <w:rFonts w:hint="eastAsia" w:ascii="宋体" w:hAnsi="宋体" w:eastAsia="宋体" w:cs="宋体"/>
          <w:color w:val="auto"/>
          <w:sz w:val="24"/>
          <w:szCs w:val="24"/>
        </w:rPr>
        <w:t>。</w:t>
      </w:r>
    </w:p>
    <w:p>
      <w:pPr>
        <w:adjustRightInd/>
        <w:snapToGrid/>
        <w:spacing w:line="420" w:lineRule="exact"/>
        <w:ind w:firstLine="480" w:firstLineChars="200"/>
        <w:outlineLvl w:val="1"/>
        <w:rPr>
          <w:rFonts w:hint="eastAsia" w:ascii="宋体" w:hAnsi="宋体" w:eastAsia="宋体"/>
          <w:color w:val="auto"/>
          <w:sz w:val="24"/>
          <w:szCs w:val="24"/>
          <w:lang w:eastAsia="zh-CN"/>
        </w:rPr>
      </w:pPr>
      <w:r>
        <w:rPr>
          <w:rFonts w:ascii="宋体" w:hAnsi="宋体" w:eastAsia="宋体" w:cs="宋体"/>
          <w:color w:val="auto"/>
          <w:sz w:val="24"/>
          <w:szCs w:val="24"/>
        </w:rPr>
        <w:t>2.</w:t>
      </w:r>
      <w:r>
        <w:rPr>
          <w:rFonts w:hint="eastAsia" w:ascii="宋体" w:hAnsi="宋体" w:eastAsia="宋体" w:cs="宋体"/>
          <w:color w:val="auto"/>
          <w:sz w:val="24"/>
          <w:szCs w:val="24"/>
        </w:rPr>
        <w:t>开标地点：</w:t>
      </w:r>
      <w:r>
        <w:rPr>
          <w:rFonts w:hint="eastAsia" w:ascii="宋体" w:hAnsi="宋体" w:eastAsia="宋体" w:cs="宋体"/>
          <w:b w:val="0"/>
          <w:bCs w:val="0"/>
          <w:color w:val="auto"/>
          <w:sz w:val="24"/>
          <w:szCs w:val="24"/>
          <w:u w:val="none"/>
          <w:lang w:val="en-US" w:eastAsia="zh-CN"/>
        </w:rPr>
        <w:t>南通市行政中心综合楼7楼中共南通市委老干部局722会议室</w:t>
      </w:r>
      <w:r>
        <w:rPr>
          <w:rFonts w:hint="eastAsia" w:ascii="宋体" w:hAnsi="宋体" w:eastAsia="宋体" w:cs="宋体"/>
          <w:color w:val="auto"/>
          <w:sz w:val="24"/>
          <w:szCs w:val="24"/>
        </w:rPr>
        <w:t>，如有变动另行通知</w:t>
      </w:r>
      <w:r>
        <w:rPr>
          <w:rFonts w:hint="eastAsia" w:ascii="宋体" w:hAnsi="宋体" w:eastAsia="宋体" w:cs="宋体"/>
          <w:color w:val="auto"/>
          <w:sz w:val="24"/>
          <w:szCs w:val="24"/>
          <w:lang w:val="en-US" w:eastAsia="zh-CN"/>
        </w:rPr>
        <w:t>。</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开标后磋商响应供应商不得撤回投标。</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开标后，采购人委托磋商小组对磋商响应供应商的资格进行审查，审查通过方可参与项目的技术标、价格标磋商评审综合环节。</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lang w:val="en-US" w:eastAsia="zh-CN"/>
        </w:rPr>
        <w:t>5</w:t>
      </w:r>
      <w:r>
        <w:rPr>
          <w:rFonts w:ascii="宋体" w:hAnsi="宋体" w:eastAsia="宋体" w:cs="宋体"/>
          <w:color w:val="auto"/>
          <w:sz w:val="24"/>
          <w:szCs w:val="24"/>
        </w:rPr>
        <w:t>.</w:t>
      </w:r>
      <w:r>
        <w:rPr>
          <w:rFonts w:hint="eastAsia" w:ascii="宋体" w:hAnsi="宋体" w:eastAsia="宋体" w:cs="宋体"/>
          <w:color w:val="auto"/>
          <w:sz w:val="24"/>
          <w:szCs w:val="24"/>
        </w:rPr>
        <w:t>资格审查中包含对磋商响应供应商的信用记录进行审查，具体如下：</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）响应供应商的信用记录。磋商响应供应商存在不良信用记录的，其投标将被认定为无效。</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不良信用记录指：磋商响应供应商在中国政府采购网（</w:t>
      </w:r>
      <w:r>
        <w:rPr>
          <w:rFonts w:ascii="宋体" w:hAnsi="宋体" w:eastAsia="宋体" w:cs="宋体"/>
          <w:color w:val="auto"/>
          <w:sz w:val="24"/>
          <w:szCs w:val="24"/>
        </w:rPr>
        <w:t>www.ccgp.gov.cn</w:t>
      </w:r>
      <w:r>
        <w:rPr>
          <w:rFonts w:hint="eastAsia" w:ascii="宋体" w:hAnsi="宋体" w:eastAsia="宋体" w:cs="宋体"/>
          <w:color w:val="auto"/>
          <w:sz w:val="24"/>
          <w:szCs w:val="24"/>
        </w:rPr>
        <w:t>）被列入政府采购严重违法失信行为记录名单，或在“信用中国”网站（</w:t>
      </w:r>
      <w:r>
        <w:rPr>
          <w:rFonts w:ascii="宋体" w:hAnsi="宋体" w:eastAsia="宋体" w:cs="宋体"/>
          <w:color w:val="auto"/>
          <w:sz w:val="24"/>
          <w:szCs w:val="24"/>
        </w:rPr>
        <w:t>www.creditchina.gov.cn</w:t>
      </w:r>
      <w:r>
        <w:rPr>
          <w:rFonts w:hint="eastAsia" w:ascii="宋体" w:hAnsi="宋体" w:eastAsia="宋体" w:cs="宋体"/>
          <w:color w:val="auto"/>
          <w:sz w:val="24"/>
          <w:szCs w:val="24"/>
        </w:rPr>
        <w:t>）被列入失信被执行人、重大税收违法案件当事人名单，以及存在《中华人民共和国政府采购法实施条例》第十九条规定的行政处罚记录。</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）查询及记录方式：采购人或采购代理机构经办人将查询网页打印、签字并存档备查。磋商响应供应商不良信用记录以采购人或采购代理机构查询结果为准。</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①在本竞争性磋商采购文件规定的查询时间之后，网站信息发生的任何变更均不再作为评标依据。</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②磋商响应供应商自行提供的与网站信息不一致的其他证明材料亦不作为资格核对的依据。</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7.</w:t>
      </w:r>
      <w:r>
        <w:rPr>
          <w:rFonts w:hint="eastAsia" w:ascii="宋体" w:hAnsi="宋体" w:eastAsia="宋体" w:cs="宋体"/>
          <w:color w:val="auto"/>
          <w:sz w:val="24"/>
          <w:szCs w:val="24"/>
        </w:rPr>
        <w:t>资格审查标准</w:t>
      </w:r>
    </w:p>
    <w:p>
      <w:pPr>
        <w:adjustRightInd w:val="0"/>
        <w:snapToGrid w:val="0"/>
        <w:spacing w:line="420" w:lineRule="exact"/>
        <w:jc w:val="center"/>
        <w:rPr>
          <w:rFonts w:ascii="宋体" w:hAnsi="宋体" w:eastAsia="宋体"/>
          <w:b/>
          <w:bCs/>
          <w:color w:val="auto"/>
          <w:sz w:val="24"/>
          <w:szCs w:val="24"/>
        </w:rPr>
      </w:pPr>
      <w:r>
        <w:rPr>
          <w:rFonts w:hint="eastAsia" w:ascii="宋体" w:hAnsi="宋体" w:eastAsia="宋体" w:cs="宋体"/>
          <w:color w:val="auto"/>
          <w:sz w:val="24"/>
          <w:szCs w:val="24"/>
        </w:rPr>
        <w:t>资格后审审查标准一览表</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blHeader/>
        </w:trPr>
        <w:tc>
          <w:tcPr>
            <w:tcW w:w="70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kern w:val="0"/>
                <w:sz w:val="24"/>
                <w:szCs w:val="24"/>
              </w:rPr>
              <w:t>序号</w:t>
            </w:r>
          </w:p>
        </w:tc>
        <w:tc>
          <w:tcPr>
            <w:tcW w:w="722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kern w:val="0"/>
                <w:sz w:val="24"/>
                <w:szCs w:val="24"/>
              </w:rPr>
              <w:t>审查条件</w:t>
            </w:r>
          </w:p>
        </w:tc>
        <w:tc>
          <w:tcPr>
            <w:tcW w:w="1701"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kern w:val="0"/>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0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w:t>
            </w:r>
          </w:p>
        </w:tc>
        <w:tc>
          <w:tcPr>
            <w:tcW w:w="7229" w:type="dxa"/>
            <w:vAlign w:val="center"/>
          </w:tcPr>
          <w:p>
            <w:pPr>
              <w:spacing w:line="420" w:lineRule="exact"/>
              <w:rPr>
                <w:rFonts w:ascii="宋体" w:hAnsi="宋体" w:eastAsia="宋体"/>
                <w:color w:val="auto"/>
                <w:kern w:val="0"/>
                <w:sz w:val="24"/>
                <w:szCs w:val="24"/>
              </w:rPr>
            </w:pPr>
            <w:r>
              <w:rPr>
                <w:rFonts w:hint="eastAsia" w:ascii="宋体" w:hAnsi="宋体" w:eastAsia="宋体" w:cs="宋体"/>
                <w:color w:val="auto"/>
                <w:sz w:val="24"/>
                <w:szCs w:val="24"/>
              </w:rPr>
              <w:t>提供磋商响应供应商的《营业执照》原件的复印件，经营范围包含展览展示设计安装（须加盖公章）。</w:t>
            </w:r>
          </w:p>
        </w:tc>
        <w:tc>
          <w:tcPr>
            <w:tcW w:w="1701"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0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w:t>
            </w:r>
          </w:p>
        </w:tc>
        <w:tc>
          <w:tcPr>
            <w:tcW w:w="7229"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法定代表人参加磋商的，必须提供本人身份证原件的复印件（须加盖公章）；非法定代表人参加的，必须提供法定代表人签名或盖章的授权委托书、委托代理人身份证及磋商响应供应商为其缴纳的</w:t>
            </w:r>
            <w:r>
              <w:rPr>
                <w:rFonts w:ascii="宋体" w:hAnsi="宋体" w:eastAsia="宋体" w:cs="宋体"/>
                <w:color w:val="auto"/>
                <w:sz w:val="24"/>
                <w:szCs w:val="24"/>
              </w:rPr>
              <w:t>202</w:t>
            </w:r>
            <w:r>
              <w:rPr>
                <w:rFonts w:hint="eastAsia" w:ascii="宋体" w:hAnsi="宋体" w:eastAsia="宋体" w:cs="宋体"/>
                <w:color w:val="auto"/>
                <w:sz w:val="24"/>
                <w:szCs w:val="24"/>
              </w:rPr>
              <w:t>1年</w:t>
            </w:r>
            <w:r>
              <w:rPr>
                <w:rFonts w:hint="eastAsia" w:ascii="宋体" w:hAnsi="宋体" w:eastAsia="宋体" w:cs="宋体"/>
                <w:color w:val="auto"/>
                <w:sz w:val="24"/>
                <w:szCs w:val="24"/>
                <w:lang w:val="en-US" w:eastAsia="zh-CN"/>
              </w:rPr>
              <w:t>3</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月的社会保险证明，这</w:t>
            </w:r>
            <w:r>
              <w:rPr>
                <w:rFonts w:ascii="宋体" w:hAnsi="宋体" w:eastAsia="宋体" w:cs="宋体"/>
                <w:color w:val="auto"/>
                <w:sz w:val="24"/>
                <w:szCs w:val="24"/>
              </w:rPr>
              <w:t>3</w:t>
            </w:r>
            <w:r>
              <w:rPr>
                <w:rFonts w:hint="eastAsia" w:ascii="宋体" w:hAnsi="宋体" w:eastAsia="宋体" w:cs="宋体"/>
                <w:color w:val="auto"/>
                <w:sz w:val="24"/>
                <w:szCs w:val="24"/>
              </w:rPr>
              <w:t>项材料原件的复印件（须加盖公章）。</w:t>
            </w:r>
          </w:p>
        </w:tc>
        <w:tc>
          <w:tcPr>
            <w:tcW w:w="1701"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9" w:type="dxa"/>
            <w:vAlign w:val="center"/>
          </w:tcPr>
          <w:p>
            <w:pPr>
              <w:spacing w:line="420" w:lineRule="exact"/>
              <w:jc w:val="center"/>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w:t>
            </w:r>
          </w:p>
        </w:tc>
        <w:tc>
          <w:tcPr>
            <w:tcW w:w="7229" w:type="dxa"/>
            <w:vAlign w:val="center"/>
          </w:tcPr>
          <w:p>
            <w:pPr>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磋商响应供应商须提供参与本次项目政府采购活动前三年内在经营活动中没有重大违法记录的书面《无重大违法记录声明函》（须加盖公章）。</w:t>
            </w:r>
          </w:p>
        </w:tc>
        <w:tc>
          <w:tcPr>
            <w:tcW w:w="1701"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w:t>
            </w:r>
          </w:p>
        </w:tc>
        <w:tc>
          <w:tcPr>
            <w:tcW w:w="7229" w:type="dxa"/>
            <w:vAlign w:val="center"/>
          </w:tcPr>
          <w:p>
            <w:pPr>
              <w:spacing w:line="420" w:lineRule="exact"/>
              <w:rPr>
                <w:rFonts w:ascii="宋体" w:hAnsi="宋体" w:eastAsia="宋体"/>
                <w:color w:val="auto"/>
                <w:kern w:val="0"/>
                <w:sz w:val="24"/>
                <w:szCs w:val="24"/>
              </w:rPr>
            </w:pPr>
            <w:r>
              <w:rPr>
                <w:rFonts w:hint="eastAsia" w:ascii="宋体" w:hAnsi="宋体" w:eastAsia="宋体" w:cs="宋体"/>
                <w:color w:val="auto"/>
                <w:sz w:val="24"/>
                <w:szCs w:val="24"/>
              </w:rPr>
              <w:t>磋商响应供应商还须提供谈判文件第八章谈判响应文件格式内“三、</w:t>
            </w:r>
            <w:r>
              <w:rPr>
                <w:rFonts w:ascii="宋体" w:hAnsi="宋体" w:eastAsia="宋体" w:cs="宋体"/>
                <w:color w:val="auto"/>
                <w:sz w:val="24"/>
                <w:szCs w:val="24"/>
              </w:rPr>
              <w:t>A</w:t>
            </w:r>
            <w:r>
              <w:rPr>
                <w:rFonts w:hint="eastAsia" w:ascii="宋体" w:hAnsi="宋体" w:eastAsia="宋体" w:cs="宋体"/>
                <w:color w:val="auto"/>
                <w:sz w:val="24"/>
                <w:szCs w:val="24"/>
              </w:rPr>
              <w:t>、</w:t>
            </w:r>
            <w:r>
              <w:rPr>
                <w:rFonts w:ascii="宋体" w:hAnsi="宋体" w:eastAsia="宋体" w:cs="宋体"/>
                <w:color w:val="auto"/>
                <w:sz w:val="24"/>
                <w:szCs w:val="24"/>
              </w:rPr>
              <w:t>A.2</w:t>
            </w:r>
            <w:r>
              <w:rPr>
                <w:rFonts w:hint="eastAsia" w:ascii="宋体" w:hAnsi="宋体" w:eastAsia="宋体" w:cs="宋体"/>
                <w:color w:val="auto"/>
                <w:sz w:val="24"/>
                <w:szCs w:val="24"/>
              </w:rPr>
              <w:t>、”中的“资格后审材料相关格式文件”内的：关于资格文件的声明函、磋商响应供应商一般情况表。</w:t>
            </w:r>
          </w:p>
        </w:tc>
        <w:tc>
          <w:tcPr>
            <w:tcW w:w="1701"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w:t>
            </w:r>
          </w:p>
        </w:tc>
        <w:tc>
          <w:tcPr>
            <w:tcW w:w="7229"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信用</w:t>
            </w:r>
            <w:r>
              <w:rPr>
                <w:rFonts w:hint="eastAsia" w:ascii="宋体" w:hAnsi="宋体" w:eastAsia="宋体" w:cs="宋体"/>
                <w:color w:val="auto"/>
                <w:sz w:val="24"/>
                <w:szCs w:val="24"/>
                <w:lang w:val="en-US" w:eastAsia="zh-CN"/>
              </w:rPr>
              <w:t>查询截图</w:t>
            </w:r>
            <w:r>
              <w:rPr>
                <w:rFonts w:hint="eastAsia" w:ascii="宋体" w:hAnsi="宋体" w:eastAsia="宋体" w:cs="宋体"/>
                <w:color w:val="auto"/>
                <w:sz w:val="24"/>
                <w:szCs w:val="24"/>
              </w:rPr>
              <w:t>。</w:t>
            </w:r>
          </w:p>
        </w:tc>
        <w:tc>
          <w:tcPr>
            <w:tcW w:w="1701" w:type="dxa"/>
            <w:vAlign w:val="center"/>
          </w:tcPr>
          <w:p>
            <w:pPr>
              <w:spacing w:line="420" w:lineRule="exact"/>
              <w:rPr>
                <w:rFonts w:ascii="宋体" w:hAnsi="宋体" w:eastAsia="宋体"/>
                <w:color w:val="auto"/>
                <w:sz w:val="24"/>
                <w:szCs w:val="24"/>
              </w:rPr>
            </w:pPr>
          </w:p>
        </w:tc>
      </w:tr>
    </w:tbl>
    <w:p>
      <w:pPr>
        <w:adjustRightInd w:val="0"/>
        <w:snapToGrid w:val="0"/>
        <w:spacing w:line="420" w:lineRule="exact"/>
        <w:ind w:firstLine="487" w:firstLineChars="202"/>
        <w:outlineLvl w:val="1"/>
        <w:rPr>
          <w:rFonts w:ascii="宋体" w:hAnsi="宋体" w:eastAsia="宋体"/>
          <w:b/>
          <w:bCs/>
          <w:color w:val="auto"/>
          <w:sz w:val="24"/>
          <w:szCs w:val="24"/>
        </w:rPr>
      </w:pPr>
      <w:r>
        <w:rPr>
          <w:rFonts w:hint="eastAsia" w:ascii="宋体" w:hAnsi="宋体" w:eastAsia="宋体" w:cs="宋体"/>
          <w:b/>
          <w:bCs/>
          <w:color w:val="auto"/>
          <w:sz w:val="24"/>
          <w:szCs w:val="24"/>
        </w:rPr>
        <w:t>四、评标</w:t>
      </w:r>
    </w:p>
    <w:p>
      <w:pPr>
        <w:snapToGrid w:val="0"/>
        <w:spacing w:line="420" w:lineRule="exact"/>
        <w:ind w:firstLine="482" w:firstLineChars="200"/>
        <w:outlineLvl w:val="2"/>
        <w:rPr>
          <w:rFonts w:ascii="宋体" w:hAnsi="宋体" w:eastAsia="宋体"/>
          <w:b/>
          <w:bCs/>
          <w:color w:val="auto"/>
          <w:sz w:val="24"/>
          <w:szCs w:val="24"/>
        </w:rPr>
      </w:pPr>
      <w:r>
        <w:rPr>
          <w:rFonts w:hint="eastAsia" w:ascii="宋体" w:hAnsi="宋体" w:eastAsia="宋体" w:cs="宋体"/>
          <w:b/>
          <w:bCs/>
          <w:color w:val="auto"/>
          <w:sz w:val="24"/>
          <w:szCs w:val="24"/>
        </w:rPr>
        <w:t>（一）评标事项</w:t>
      </w:r>
    </w:p>
    <w:p>
      <w:pPr>
        <w:snapToGrid w:val="0"/>
        <w:spacing w:line="420" w:lineRule="exact"/>
        <w:ind w:firstLine="480" w:firstLineChars="200"/>
        <w:rPr>
          <w:rFonts w:hint="eastAsia" w:ascii="宋体" w:hAnsi="宋体" w:eastAsia="宋体"/>
          <w:color w:val="auto"/>
          <w:sz w:val="24"/>
          <w:szCs w:val="24"/>
          <w:lang w:eastAsia="zh-CN"/>
        </w:rPr>
      </w:pPr>
      <w:r>
        <w:rPr>
          <w:rFonts w:ascii="宋体" w:hAnsi="宋体" w:eastAsia="宋体" w:cs="宋体"/>
          <w:color w:val="auto"/>
          <w:sz w:val="24"/>
          <w:szCs w:val="24"/>
        </w:rPr>
        <w:t>1.</w:t>
      </w:r>
      <w:r>
        <w:rPr>
          <w:rFonts w:hint="eastAsia" w:ascii="宋体" w:hAnsi="宋体" w:eastAsia="宋体" w:cs="宋体"/>
          <w:color w:val="auto"/>
          <w:sz w:val="24"/>
          <w:szCs w:val="24"/>
        </w:rPr>
        <w:t>评标时间：</w:t>
      </w:r>
      <w:r>
        <w:rPr>
          <w:rFonts w:hint="eastAsia" w:ascii="宋体" w:hAnsi="宋体" w:eastAsia="宋体" w:cs="宋体"/>
          <w:b/>
          <w:bCs/>
          <w:color w:val="auto"/>
          <w:sz w:val="24"/>
          <w:szCs w:val="24"/>
          <w:u w:val="thick" w:color="FF0000"/>
        </w:rPr>
        <w:t>开标资审后当即开始</w:t>
      </w:r>
      <w:r>
        <w:rPr>
          <w:rFonts w:hint="eastAsia" w:ascii="宋体" w:hAnsi="宋体" w:eastAsia="宋体" w:cs="宋体"/>
          <w:color w:val="auto"/>
          <w:sz w:val="24"/>
          <w:szCs w:val="24"/>
          <w:lang w:eastAsia="zh-CN"/>
        </w:rPr>
        <w:t>。</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磋商小组负责具体的评标磋商事务，并独立履行以下职责：</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）审查合格磋商响应供应商的技术标文件是否实质性响应竞争性磋商文件要求，并做出评价；</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）可以要求磋商响应供应商对磋商响应文件中的有关事项做出解释或澄清；</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）按竞争性磋商文件载明的方法推荐成交候选人名单；</w:t>
      </w:r>
    </w:p>
    <w:p>
      <w:pPr>
        <w:snapToGrid w:val="0"/>
        <w:spacing w:line="420" w:lineRule="exact"/>
        <w:ind w:left="2"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磋商小组发现竞争性磋商文件存在歧义、重大缺陷导致评标磋商工作无法进行，或者竞争性磋商文件内容违反国家有关强制性规定的，应当停止评标磋商工作，与采购人或者采购代理机构沟通并作书面记录。采购人或者采购代理机构确认后，应当修改竞争性磋商文件，重新组织采购活动。</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磋商小组成员应当履行下列义务：</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）遵纪守法，客观、公正、廉洁地履行职责；</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）磋商小组成员应当按照客观、公正、审慎的原则，根据磋商文件规定的评审程序、评审方法和评审标准进行独立评审并对评审意见承担个人责任。</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）磋商小组成员应当遵守评审工作纪律，不得泄露磋商评审情况和磋商评审中获悉的商业秘密；</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）磋商评审程序中的有关记录由磋商小组成员签名，存档备查。</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）磋商小组成员在评审过程中发现供应商有行贿、提供虚假材料或者串通等违法行为的，应当及时向上级主管部门或相关监管部门报告。</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6</w:t>
      </w:r>
      <w:r>
        <w:rPr>
          <w:rFonts w:hint="eastAsia" w:ascii="宋体" w:hAnsi="宋体" w:eastAsia="宋体" w:cs="宋体"/>
          <w:color w:val="auto"/>
          <w:sz w:val="24"/>
          <w:szCs w:val="24"/>
        </w:rPr>
        <w:t>）磋商评委在磋商评审过程中受到非法干涉的，应当及时向财政、监察等部门举报。</w:t>
      </w:r>
    </w:p>
    <w:p>
      <w:pPr>
        <w:adjustRightInd w:val="0"/>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7</w:t>
      </w:r>
      <w:r>
        <w:rPr>
          <w:rFonts w:hint="eastAsia" w:ascii="宋体" w:hAnsi="宋体" w:eastAsia="宋体" w:cs="宋体"/>
          <w:color w:val="auto"/>
          <w:sz w:val="24"/>
          <w:szCs w:val="24"/>
        </w:rPr>
        <w:t>）磋商小组成员有义务及责任配合采购人答复供应商提出的质疑，配合财政部门的投诉处理和监督检查工作。</w:t>
      </w:r>
    </w:p>
    <w:p>
      <w:pPr>
        <w:adjustRightInd w:val="0"/>
        <w:snapToGrid w:val="0"/>
        <w:spacing w:line="420" w:lineRule="exact"/>
        <w:ind w:firstLine="484" w:firstLineChars="202"/>
        <w:rPr>
          <w:rFonts w:hint="eastAsia" w:ascii="宋体" w:hAnsi="宋体" w:eastAsia="宋体" w:cs="宋体"/>
          <w:color w:val="auto"/>
          <w:sz w:val="24"/>
          <w:szCs w:val="24"/>
          <w:lang w:val="en-US" w:eastAsia="zh-CN"/>
        </w:rPr>
      </w:pPr>
      <w:r>
        <w:rPr>
          <w:rFonts w:ascii="宋体" w:hAnsi="宋体" w:eastAsia="宋体" w:cs="宋体"/>
          <w:color w:val="auto"/>
          <w:sz w:val="24"/>
          <w:szCs w:val="24"/>
        </w:rPr>
        <w:t>4.</w:t>
      </w:r>
      <w:r>
        <w:rPr>
          <w:rFonts w:hint="eastAsia" w:ascii="宋体" w:hAnsi="宋体" w:eastAsia="宋体" w:cs="宋体"/>
          <w:color w:val="auto"/>
          <w:sz w:val="24"/>
          <w:szCs w:val="24"/>
        </w:rPr>
        <w:t>除采购人代表、评标磋商现场组织人员外，采购人的其他工作人员以及与评标磋商工作无关的人员不得进入评标现场。</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有关人员对评标情况以及在评标过程中获悉的国家秘密、商业秘密负有保密责任。</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6.</w:t>
      </w:r>
      <w:r>
        <w:rPr>
          <w:rFonts w:hint="eastAsia" w:ascii="宋体" w:hAnsi="宋体" w:eastAsia="宋体" w:cs="宋体"/>
          <w:color w:val="auto"/>
          <w:sz w:val="24"/>
          <w:szCs w:val="24"/>
        </w:rPr>
        <w:t>竞争性磋商开标后，直到公告项目成交结果，发出成交通知书并授予成交人合同为止，凡属于评审、澄清、评价和比较磋商响应的所有资料及有关授予合同等的相关信息，都严禁向响应供应商或与磋商评审无关的其他人（单位）泄露。</w:t>
      </w:r>
    </w:p>
    <w:p>
      <w:pPr>
        <w:adjustRightInd w:val="0"/>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7.</w:t>
      </w:r>
      <w:r>
        <w:rPr>
          <w:rFonts w:hint="eastAsia" w:ascii="宋体" w:hAnsi="宋体" w:eastAsia="宋体" w:cs="宋体"/>
          <w:color w:val="auto"/>
          <w:sz w:val="24"/>
          <w:szCs w:val="24"/>
        </w:rPr>
        <w:t>在磋商响应文件的评审、澄清、评价和比较的过程中，供应商对采购人和磋商小组成员有施加影响的任何行为，都将取消其磋商资格。在授予合同的过程中，供应商对采购人和磋商小组成员有施加影响的任何行为，都将取消其成交资格。</w:t>
      </w:r>
    </w:p>
    <w:p>
      <w:pPr>
        <w:snapToGrid w:val="0"/>
        <w:spacing w:line="420" w:lineRule="exact"/>
        <w:ind w:firstLine="482" w:firstLineChars="200"/>
        <w:outlineLvl w:val="2"/>
        <w:rPr>
          <w:rFonts w:ascii="宋体" w:hAnsi="宋体" w:eastAsia="宋体"/>
          <w:b/>
          <w:bCs/>
          <w:color w:val="auto"/>
          <w:sz w:val="24"/>
          <w:szCs w:val="24"/>
        </w:rPr>
      </w:pPr>
      <w:r>
        <w:rPr>
          <w:rFonts w:hint="eastAsia" w:ascii="宋体" w:hAnsi="宋体" w:eastAsia="宋体" w:cs="宋体"/>
          <w:b/>
          <w:bCs/>
          <w:color w:val="auto"/>
          <w:sz w:val="24"/>
          <w:szCs w:val="24"/>
        </w:rPr>
        <w:t>（二）竞争性磋商方法</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磋商小组依据《中华人民共和国政府采购法》、《政府采购竞争性磋商采购方式管理暂行办法》以及有关政府采购的相关法规，遵循“公开、公平、公正、择优、信用”的原则进行磋商评审。</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磋商小组将按照竞争性磋商文件的规定，只对资格审查合格的供应商的磋商响应文件进行评审和比较。</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磋商小组根据磋商文件规定的程序、评定成交的标准等事项，判定实质性响应磋商文件要求的供应商列为最终评审报价供应商，否则须进行磋商后确定最终采购需求和最终评审报价的供应商。未实质性响应磋商文件要求的磋商响应文件按无效处理，磋商小组应当告知提交磋商响应文件的供应商。</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）如需进行磋商后确定最终采购需求和最终评审报价供应商的，则经首次磋商响应报价后进入磋商环节，磋商小组所有成员应当集中与单一供应商分别进行磋商，并给予所有参加磋商的供应商平等的磋商机会。</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）对磋商文件做出的实质性变动是磋商文件的有效组成部分，磋商小组应当及时以书面形式同时通知所有参加磋商的供应商。</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供应商应当按照磋商文件的变动情况和磋商小组的要求重新提交响应文件，并由其法定代表人或被委托受权人签字（或盖章）或者加盖公章。由被委托受权人签字的，应当附法定代表人授权书。供应商为自然人的，应当由本人签字并附身份证明。</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）磋商结束后，磋商小组应当对所有实质性响应并入围最终评审报价供应商的磋商响应技术文件进行评审打分。</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6</w:t>
      </w:r>
      <w:r>
        <w:rPr>
          <w:rFonts w:hint="eastAsia" w:ascii="宋体" w:hAnsi="宋体" w:eastAsia="宋体" w:cs="宋体"/>
          <w:color w:val="auto"/>
          <w:sz w:val="24"/>
          <w:szCs w:val="24"/>
        </w:rPr>
        <w:t>）已提交响应文件的供应商，在进入磋商最后报价之前，可以根据磋商情况退出磋商。</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磋商文件不能详细列明采购标的的技术、服务要求，需经磋商由供应商提供最终设计方案或解决方案的，磋商结束后，磋商小组应当按照少数服从多数的原则投票推荐</w:t>
      </w:r>
      <w:r>
        <w:rPr>
          <w:rFonts w:ascii="宋体" w:hAnsi="宋体" w:eastAsia="宋体" w:cs="宋体"/>
          <w:color w:val="auto"/>
          <w:sz w:val="24"/>
          <w:szCs w:val="24"/>
        </w:rPr>
        <w:t>3</w:t>
      </w:r>
      <w:r>
        <w:rPr>
          <w:rFonts w:hint="eastAsia" w:ascii="宋体" w:hAnsi="宋体" w:eastAsia="宋体" w:cs="宋体"/>
          <w:color w:val="auto"/>
          <w:sz w:val="24"/>
          <w:szCs w:val="24"/>
        </w:rPr>
        <w:t>家以上供应商的设计方案或者解决方案，并对其进行最终评审。</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在磋商中，磋商的任何一方不得透露与磋商有关的其他响应磋商的供应商的技术资料、价格及其他信息。</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6.</w:t>
      </w:r>
      <w:r>
        <w:rPr>
          <w:rFonts w:hint="eastAsia" w:ascii="宋体" w:hAnsi="宋体" w:eastAsia="宋体" w:cs="宋体"/>
          <w:color w:val="auto"/>
          <w:sz w:val="24"/>
          <w:szCs w:val="24"/>
        </w:rPr>
        <w:t>对磋商技术响应文件进行比较评审，是否可列为最终评审报价供应商</w:t>
      </w:r>
    </w:p>
    <w:p>
      <w:pPr>
        <w:pStyle w:val="2"/>
        <w:spacing w:before="120"/>
        <w:ind w:firstLine="600"/>
        <w:rPr>
          <w:rFonts w:cs="Times New Roman"/>
          <w:color w:val="auto"/>
        </w:rPr>
      </w:pP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851" w:type="dxa"/>
            <w:vAlign w:val="center"/>
          </w:tcPr>
          <w:p>
            <w:pPr>
              <w:spacing w:line="420" w:lineRule="exact"/>
              <w:jc w:val="center"/>
              <w:rPr>
                <w:rFonts w:ascii="宋体" w:hAnsi="宋体" w:eastAsia="宋体"/>
                <w:color w:val="auto"/>
                <w:kern w:val="0"/>
                <w:sz w:val="24"/>
                <w:szCs w:val="24"/>
              </w:rPr>
            </w:pPr>
            <w:r>
              <w:rPr>
                <w:rFonts w:hint="eastAsia" w:ascii="宋体" w:hAnsi="宋体" w:eastAsia="宋体" w:cs="宋体"/>
                <w:color w:val="auto"/>
                <w:kern w:val="0"/>
                <w:sz w:val="24"/>
                <w:szCs w:val="24"/>
              </w:rPr>
              <w:t>序号</w:t>
            </w:r>
          </w:p>
        </w:tc>
        <w:tc>
          <w:tcPr>
            <w:tcW w:w="8788" w:type="dxa"/>
            <w:vAlign w:val="center"/>
          </w:tcPr>
          <w:p>
            <w:pPr>
              <w:spacing w:line="420" w:lineRule="exact"/>
              <w:jc w:val="center"/>
              <w:rPr>
                <w:rFonts w:ascii="宋体" w:hAnsi="宋体" w:eastAsia="宋体"/>
                <w:color w:val="auto"/>
                <w:kern w:val="0"/>
                <w:sz w:val="24"/>
                <w:szCs w:val="24"/>
              </w:rPr>
            </w:pPr>
            <w:r>
              <w:rPr>
                <w:rFonts w:hint="eastAsia" w:ascii="宋体" w:hAnsi="宋体" w:eastAsia="宋体" w:cs="宋体"/>
                <w:color w:val="auto"/>
                <w:kern w:val="0"/>
                <w:sz w:val="24"/>
                <w:szCs w:val="24"/>
              </w:rPr>
              <w:t>评审比较内容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Align w:val="center"/>
          </w:tcPr>
          <w:p>
            <w:pPr>
              <w:spacing w:line="420" w:lineRule="exact"/>
              <w:jc w:val="center"/>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w:t>
            </w:r>
          </w:p>
        </w:tc>
        <w:tc>
          <w:tcPr>
            <w:tcW w:w="8788"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供应商提供的技术响应是否满足磋商文件要求，包含设计施工要求及内容、付款方式等；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Align w:val="center"/>
          </w:tcPr>
          <w:p>
            <w:pPr>
              <w:tabs>
                <w:tab w:val="left" w:pos="0"/>
              </w:tabs>
              <w:spacing w:line="420" w:lineRule="exact"/>
              <w:jc w:val="center"/>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w:t>
            </w:r>
          </w:p>
        </w:tc>
        <w:tc>
          <w:tcPr>
            <w:tcW w:w="8788"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kern w:val="0"/>
                <w:sz w:val="24"/>
                <w:szCs w:val="24"/>
              </w:rPr>
              <w:t>提供的项目实施方案与磋商文件要求的符合度，可否进入磋商环节；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vAlign w:val="center"/>
          </w:tcPr>
          <w:p>
            <w:pPr>
              <w:tabs>
                <w:tab w:val="left" w:pos="0"/>
              </w:tabs>
              <w:spacing w:line="420" w:lineRule="exact"/>
              <w:jc w:val="center"/>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w:t>
            </w:r>
          </w:p>
        </w:tc>
        <w:tc>
          <w:tcPr>
            <w:tcW w:w="8788"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结合供应商提供的技术响应文件，判断是否需要进行磋商确定最终采购需求；</w:t>
            </w:r>
          </w:p>
        </w:tc>
      </w:tr>
    </w:tbl>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7.</w:t>
      </w:r>
      <w:r>
        <w:rPr>
          <w:rFonts w:hint="eastAsia" w:ascii="宋体" w:hAnsi="宋体" w:eastAsia="宋体" w:cs="宋体"/>
          <w:color w:val="auto"/>
          <w:sz w:val="24"/>
          <w:szCs w:val="24"/>
        </w:rPr>
        <w:t>磋商响应报价的价格评审：</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磋商小组认为入围最终评审报价供应商的报价（现场二次最终）明显低于其他入围最终评审报价供应商的报价（现场二次最终），有可能影响产品或服务的质量或者不能诚信履约的，应当要求其“在评标现场”合理的时间内提供“书面”说明，必要时提交“相关证明”材料；供应商不能证明其“报价合理性”的，磋商小组应当将其作为无效磋商处理。</w:t>
      </w:r>
    </w:p>
    <w:p>
      <w:pPr>
        <w:snapToGrid w:val="0"/>
        <w:spacing w:line="420" w:lineRule="exact"/>
        <w:ind w:firstLine="482" w:firstLineChars="200"/>
        <w:outlineLvl w:val="2"/>
        <w:rPr>
          <w:rFonts w:ascii="宋体" w:hAnsi="宋体" w:eastAsia="宋体"/>
          <w:b/>
          <w:bCs/>
          <w:color w:val="auto"/>
          <w:sz w:val="24"/>
          <w:szCs w:val="24"/>
        </w:rPr>
      </w:pPr>
      <w:r>
        <w:rPr>
          <w:rFonts w:hint="eastAsia" w:ascii="宋体" w:hAnsi="宋体" w:eastAsia="宋体" w:cs="宋体"/>
          <w:b/>
          <w:bCs/>
          <w:color w:val="auto"/>
          <w:sz w:val="24"/>
          <w:szCs w:val="24"/>
        </w:rPr>
        <w:t>（三）评标磋商的结果</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经评审确定</w:t>
      </w:r>
      <w:r>
        <w:rPr>
          <w:rFonts w:hint="eastAsia" w:ascii="宋体" w:hAnsi="宋体" w:eastAsia="宋体" w:cs="宋体"/>
          <w:color w:val="auto"/>
          <w:sz w:val="24"/>
          <w:szCs w:val="24"/>
          <w:u w:val="single"/>
        </w:rPr>
        <w:t>最终评审报价供应商</w:t>
      </w:r>
      <w:r>
        <w:rPr>
          <w:rFonts w:hint="eastAsia" w:ascii="宋体" w:hAnsi="宋体" w:eastAsia="宋体" w:cs="宋体"/>
          <w:color w:val="auto"/>
          <w:sz w:val="24"/>
          <w:szCs w:val="24"/>
        </w:rPr>
        <w:t>或经磋商</w:t>
      </w:r>
      <w:r>
        <w:rPr>
          <w:rFonts w:hint="eastAsia" w:ascii="宋体" w:hAnsi="宋体" w:eastAsia="宋体" w:cs="宋体"/>
          <w:color w:val="auto"/>
          <w:sz w:val="24"/>
          <w:szCs w:val="24"/>
          <w:u w:val="single"/>
        </w:rPr>
        <w:t>确定最终采购需求列入最终评审报价供应商</w:t>
      </w:r>
      <w:r>
        <w:rPr>
          <w:rFonts w:hint="eastAsia" w:ascii="宋体" w:hAnsi="宋体" w:eastAsia="宋体" w:cs="宋体"/>
          <w:color w:val="auto"/>
          <w:sz w:val="24"/>
          <w:szCs w:val="24"/>
        </w:rPr>
        <w:t>后，由磋商小组采用</w:t>
      </w:r>
      <w:r>
        <w:rPr>
          <w:rFonts w:hint="eastAsia" w:ascii="宋体" w:hAnsi="宋体" w:eastAsia="宋体" w:cs="宋体"/>
          <w:color w:val="auto"/>
          <w:sz w:val="24"/>
          <w:szCs w:val="24"/>
          <w:u w:val="single"/>
        </w:rPr>
        <w:t>综合评分法</w:t>
      </w:r>
      <w:r>
        <w:rPr>
          <w:rFonts w:hint="eastAsia" w:ascii="宋体" w:hAnsi="宋体" w:eastAsia="宋体" w:cs="宋体"/>
          <w:color w:val="auto"/>
          <w:sz w:val="24"/>
          <w:szCs w:val="24"/>
        </w:rPr>
        <w:t>对响应文件满足磋商文件全部实质性要求的列入</w:t>
      </w:r>
      <w:r>
        <w:rPr>
          <w:rFonts w:hint="eastAsia" w:ascii="宋体" w:hAnsi="宋体" w:eastAsia="宋体" w:cs="宋体"/>
          <w:color w:val="auto"/>
          <w:sz w:val="24"/>
          <w:szCs w:val="24"/>
          <w:u w:val="single"/>
        </w:rPr>
        <w:t>最终评审报价供应商</w:t>
      </w:r>
      <w:r>
        <w:rPr>
          <w:rFonts w:hint="eastAsia" w:ascii="宋体" w:hAnsi="宋体" w:eastAsia="宋体" w:cs="宋体"/>
          <w:color w:val="auto"/>
          <w:sz w:val="24"/>
          <w:szCs w:val="24"/>
        </w:rPr>
        <w:t>的响应文件，按评审因素的量化指标进行评审：</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进入综合评分评审阶段后，磋商小组成员会将仅对按本磋商文件载明的方法与规定，对满足磋商文件全部实质性要求的磋商响应文件进行评审、评价和比较。</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磋商小组各成员应当独立对每个有效的磋商响应文件进行评价、打分，然后汇总每个供应商每项评分因素的得分（计算结果均四舍五入保留两位小数）。</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本次磋商项目进入到综合评分阶段中的技术和商务报价磋商评审总分值为</w:t>
      </w:r>
      <w:r>
        <w:rPr>
          <w:rFonts w:ascii="宋体" w:hAnsi="宋体" w:eastAsia="宋体" w:cs="宋体"/>
          <w:color w:val="auto"/>
          <w:sz w:val="24"/>
          <w:szCs w:val="24"/>
        </w:rPr>
        <w:t>100</w:t>
      </w:r>
      <w:r>
        <w:rPr>
          <w:rFonts w:hint="eastAsia" w:ascii="宋体" w:hAnsi="宋体" w:eastAsia="宋体" w:cs="宋体"/>
          <w:color w:val="auto"/>
          <w:sz w:val="24"/>
          <w:szCs w:val="24"/>
        </w:rPr>
        <w:t>分。两部分评审因素比重如下：</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）技术标分值占总分值的比重为</w:t>
      </w:r>
      <w:r>
        <w:rPr>
          <w:rFonts w:ascii="宋体" w:hAnsi="宋体" w:eastAsia="宋体" w:cs="宋体"/>
          <w:color w:val="auto"/>
          <w:sz w:val="24"/>
          <w:szCs w:val="24"/>
          <w:u w:val="single"/>
        </w:rPr>
        <w:t>80%</w:t>
      </w:r>
      <w:r>
        <w:rPr>
          <w:rFonts w:hint="eastAsia" w:ascii="宋体" w:hAnsi="宋体" w:eastAsia="宋体" w:cs="宋体"/>
          <w:color w:val="auto"/>
          <w:sz w:val="24"/>
          <w:szCs w:val="24"/>
          <w:u w:val="single"/>
        </w:rPr>
        <w:t>（权重）</w:t>
      </w:r>
      <w:r>
        <w:rPr>
          <w:rFonts w:hint="eastAsia" w:ascii="宋体" w:hAnsi="宋体" w:eastAsia="宋体" w:cs="宋体"/>
          <w:color w:val="auto"/>
          <w:sz w:val="24"/>
          <w:szCs w:val="24"/>
        </w:rPr>
        <w:t>（四舍五入保留两位小数）；</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）磋商响应最后商务报价分值占总分值的比重为</w:t>
      </w:r>
      <w:r>
        <w:rPr>
          <w:rFonts w:ascii="宋体" w:hAnsi="宋体" w:eastAsia="宋体" w:cs="宋体"/>
          <w:color w:val="auto"/>
          <w:sz w:val="24"/>
          <w:szCs w:val="24"/>
          <w:u w:val="single"/>
        </w:rPr>
        <w:t>20%</w:t>
      </w:r>
      <w:r>
        <w:rPr>
          <w:rFonts w:hint="eastAsia" w:ascii="宋体" w:hAnsi="宋体" w:eastAsia="宋体" w:cs="宋体"/>
          <w:color w:val="auto"/>
          <w:sz w:val="24"/>
          <w:szCs w:val="24"/>
          <w:u w:val="single"/>
        </w:rPr>
        <w:t>（权重）</w:t>
      </w:r>
      <w:r>
        <w:rPr>
          <w:rFonts w:hint="eastAsia" w:ascii="宋体" w:hAnsi="宋体" w:eastAsia="宋体" w:cs="宋体"/>
          <w:color w:val="auto"/>
          <w:sz w:val="24"/>
          <w:szCs w:val="24"/>
        </w:rPr>
        <w:t>（四舍五入保留两位小数）。</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lang w:val="en-US" w:eastAsia="zh-CN"/>
        </w:rPr>
        <w:t>4</w:t>
      </w:r>
      <w:r>
        <w:rPr>
          <w:rFonts w:ascii="宋体" w:hAnsi="宋体" w:eastAsia="宋体" w:cs="宋体"/>
          <w:color w:val="auto"/>
          <w:sz w:val="24"/>
          <w:szCs w:val="24"/>
        </w:rPr>
        <w:t>.</w:t>
      </w:r>
      <w:r>
        <w:rPr>
          <w:rFonts w:hint="eastAsia" w:ascii="宋体" w:hAnsi="宋体" w:eastAsia="宋体" w:cs="宋体"/>
          <w:color w:val="auto"/>
          <w:sz w:val="24"/>
          <w:szCs w:val="24"/>
        </w:rPr>
        <w:t>最后报价分统一采用低价优先法计算直接取得，与技术得分相加为磋商响应供应商的综合得分（四舍五入保留两位小数）。</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综合得分最高的推荐为本项目的成交供应商并出具《磋商评审报告》。</w:t>
      </w:r>
    </w:p>
    <w:p>
      <w:pPr>
        <w:snapToGrid w:val="0"/>
        <w:spacing w:line="420" w:lineRule="exact"/>
        <w:ind w:firstLine="487" w:firstLineChars="202"/>
        <w:rPr>
          <w:rFonts w:ascii="宋体" w:hAnsi="宋体" w:eastAsia="宋体"/>
          <w:b/>
          <w:bCs/>
          <w:color w:val="auto"/>
          <w:sz w:val="24"/>
          <w:szCs w:val="24"/>
        </w:rPr>
      </w:pPr>
      <w:r>
        <w:rPr>
          <w:rFonts w:hint="eastAsia" w:ascii="宋体" w:hAnsi="宋体" w:eastAsia="宋体" w:cs="宋体"/>
          <w:b/>
          <w:bCs/>
          <w:color w:val="auto"/>
          <w:sz w:val="24"/>
          <w:szCs w:val="24"/>
        </w:rPr>
        <w:t>（四）关于投标价格评审</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针对中小微型企业的价格评审</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根据财政部、工业和信息化部关于印发意见“财库〔</w:t>
      </w:r>
      <w:r>
        <w:rPr>
          <w:rFonts w:ascii="宋体" w:hAnsi="宋体" w:eastAsia="宋体" w:cs="宋体"/>
          <w:color w:val="auto"/>
        </w:rPr>
        <w:t>2011</w:t>
      </w:r>
      <w:r>
        <w:rPr>
          <w:rFonts w:hint="eastAsia" w:ascii="宋体" w:hAnsi="宋体" w:eastAsia="宋体" w:cs="宋体"/>
          <w:color w:val="auto"/>
        </w:rPr>
        <w:t>〕</w:t>
      </w:r>
      <w:r>
        <w:rPr>
          <w:rFonts w:ascii="宋体" w:hAnsi="宋体" w:eastAsia="宋体" w:cs="宋体"/>
          <w:color w:val="auto"/>
        </w:rPr>
        <w:t>181</w:t>
      </w:r>
      <w:r>
        <w:rPr>
          <w:rFonts w:hint="eastAsia" w:ascii="宋体" w:hAnsi="宋体" w:eastAsia="宋体" w:cs="宋体"/>
          <w:color w:val="auto"/>
        </w:rPr>
        <w:t>号”关于印发《政府采购促进中小企业发展暂行办法》的通知规定，对属于小型、微型企业的投标人给予评审加分，具体方法如下：</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1</w:t>
      </w:r>
      <w:r>
        <w:rPr>
          <w:rFonts w:hint="eastAsia" w:ascii="宋体" w:hAnsi="宋体" w:eastAsia="宋体" w:cs="宋体"/>
          <w:color w:val="auto"/>
        </w:rPr>
        <w:t>）投标人（包括制造商）需根据“工信部联企业〔</w:t>
      </w:r>
      <w:r>
        <w:rPr>
          <w:rFonts w:ascii="宋体" w:hAnsi="宋体" w:eastAsia="宋体" w:cs="宋体"/>
          <w:color w:val="auto"/>
        </w:rPr>
        <w:t>2011</w:t>
      </w:r>
      <w:r>
        <w:rPr>
          <w:rFonts w:hint="eastAsia" w:ascii="宋体" w:hAnsi="宋体" w:eastAsia="宋体" w:cs="宋体"/>
          <w:color w:val="auto"/>
        </w:rPr>
        <w:t>〕</w:t>
      </w:r>
      <w:r>
        <w:rPr>
          <w:rFonts w:ascii="宋体" w:hAnsi="宋体" w:eastAsia="宋体" w:cs="宋体"/>
          <w:color w:val="auto"/>
        </w:rPr>
        <w:t>300</w:t>
      </w:r>
      <w:r>
        <w:rPr>
          <w:rFonts w:hint="eastAsia" w:ascii="宋体" w:hAnsi="宋体" w:eastAsia="宋体" w:cs="宋体"/>
          <w:color w:val="auto"/>
        </w:rPr>
        <w:t>号”通知中的《中小企业划型标准规定》填报“中小企业声明函”。</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2</w:t>
      </w:r>
      <w:r>
        <w:rPr>
          <w:rFonts w:hint="eastAsia" w:ascii="宋体" w:hAnsi="宋体" w:eastAsia="宋体" w:cs="宋体"/>
          <w:color w:val="auto"/>
        </w:rPr>
        <w:t>）投标人认定本企业及提供货物的制造商为小型或微型企业，必须提供投标人（包括制造商）注册所在地经信部门出具的认定证明。</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3</w:t>
      </w:r>
      <w:r>
        <w:rPr>
          <w:rFonts w:hint="eastAsia" w:ascii="宋体" w:hAnsi="宋体" w:eastAsia="宋体" w:cs="宋体"/>
          <w:color w:val="auto"/>
        </w:rPr>
        <w:t>）根据“中小企业声明函”或提供的认定证明中所确定的企业性质，如投标人属于小型企业或微型企业的，且提供自有服务以及小型、微型企业制造的货物的，对小型、微型企业制造的货物部分的“报价给予</w:t>
      </w:r>
      <w:r>
        <w:rPr>
          <w:rFonts w:hint="eastAsia" w:ascii="宋体" w:hAnsi="宋体" w:eastAsia="宋体" w:cs="宋体"/>
          <w:color w:val="auto"/>
          <w:u w:val="single"/>
        </w:rPr>
        <w:t>”</w:t>
      </w:r>
      <w:r>
        <w:rPr>
          <w:rFonts w:ascii="宋体" w:hAnsi="宋体" w:eastAsia="宋体" w:cs="宋体"/>
          <w:color w:val="auto"/>
          <w:u w:val="single"/>
        </w:rPr>
        <w:t>10%</w:t>
      </w:r>
      <w:r>
        <w:rPr>
          <w:rFonts w:hint="eastAsia" w:ascii="宋体" w:hAnsi="宋体" w:eastAsia="宋体" w:cs="宋体"/>
          <w:color w:val="auto"/>
          <w:u w:val="single"/>
        </w:rPr>
        <w:t>”</w:t>
      </w:r>
      <w:r>
        <w:rPr>
          <w:rFonts w:hint="eastAsia" w:ascii="宋体" w:hAnsi="宋体" w:eastAsia="宋体" w:cs="宋体"/>
          <w:color w:val="auto"/>
        </w:rPr>
        <w:t>的扣除；扣除后的价格为评审价格参与价格评审。</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4</w:t>
      </w:r>
      <w:r>
        <w:rPr>
          <w:rFonts w:hint="eastAsia" w:ascii="宋体" w:hAnsi="宋体" w:eastAsia="宋体" w:cs="宋体"/>
          <w:color w:val="auto"/>
        </w:rPr>
        <w:t>）小微企业提供中型企业制造或使用中型企业注册商标的货物的，视同为中型企业。小微企业提供大型企业制造或使用大型企业注册商标的货物的，视同为大型企业。</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5</w:t>
      </w:r>
      <w:r>
        <w:rPr>
          <w:rFonts w:hint="eastAsia" w:ascii="宋体" w:hAnsi="宋体" w:eastAsia="宋体" w:cs="宋体"/>
          <w:color w:val="auto"/>
        </w:rPr>
        <w:t>）一个项目中包含多项货物采购的，按其中可以认定为小微企业生产产品的价格或价值部分给予价格折扣。</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w:t>
      </w:r>
      <w:r>
        <w:rPr>
          <w:rFonts w:ascii="宋体" w:hAnsi="宋体" w:eastAsia="宋体" w:cs="宋体"/>
          <w:color w:val="auto"/>
        </w:rPr>
        <w:t>6</w:t>
      </w:r>
      <w:r>
        <w:rPr>
          <w:rFonts w:hint="eastAsia" w:ascii="宋体" w:hAnsi="宋体" w:eastAsia="宋体" w:cs="宋体"/>
          <w:color w:val="auto"/>
        </w:rPr>
        <w:t>）以上规定未尽事项，按《政府采购促进中小企业发展暂行办法》等有关制度规定执行。</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注：</w:t>
      </w:r>
    </w:p>
    <w:p>
      <w:pPr>
        <w:snapToGrid w:val="0"/>
        <w:spacing w:line="420" w:lineRule="exact"/>
        <w:ind w:firstLine="525" w:firstLineChars="202"/>
        <w:rPr>
          <w:rFonts w:ascii="宋体" w:hAnsi="宋体" w:eastAsia="宋体"/>
          <w:color w:val="auto"/>
        </w:rPr>
      </w:pPr>
      <w:r>
        <w:rPr>
          <w:rFonts w:hint="eastAsia" w:ascii="宋体" w:hAnsi="宋体" w:eastAsia="宋体" w:cs="宋体"/>
          <w:color w:val="auto"/>
        </w:rPr>
        <w:t>①填报“中小企业声明函”需严格按“工信部联企业〔</w:t>
      </w:r>
      <w:r>
        <w:rPr>
          <w:rFonts w:ascii="宋体" w:hAnsi="宋体" w:eastAsia="宋体" w:cs="宋体"/>
          <w:color w:val="auto"/>
        </w:rPr>
        <w:t>2011</w:t>
      </w:r>
      <w:r>
        <w:rPr>
          <w:rFonts w:hint="eastAsia" w:ascii="宋体" w:hAnsi="宋体" w:eastAsia="宋体" w:cs="宋体"/>
          <w:color w:val="auto"/>
        </w:rPr>
        <w:t>〕</w:t>
      </w:r>
      <w:r>
        <w:rPr>
          <w:rFonts w:ascii="宋体" w:hAnsi="宋体" w:eastAsia="宋体" w:cs="宋体"/>
          <w:color w:val="auto"/>
        </w:rPr>
        <w:t>300</w:t>
      </w:r>
      <w:r>
        <w:rPr>
          <w:rFonts w:hint="eastAsia" w:ascii="宋体" w:hAnsi="宋体" w:eastAsia="宋体" w:cs="宋体"/>
          <w:color w:val="auto"/>
        </w:rPr>
        <w:t>号通知中的《中小企业划型标准规定》进行。</w:t>
      </w:r>
    </w:p>
    <w:p>
      <w:pPr>
        <w:snapToGrid w:val="0"/>
        <w:spacing w:line="420" w:lineRule="exact"/>
        <w:ind w:firstLine="525" w:firstLineChars="202"/>
        <w:rPr>
          <w:rFonts w:ascii="宋体" w:hAnsi="宋体" w:eastAsia="宋体"/>
          <w:b/>
          <w:bCs/>
          <w:color w:val="auto"/>
        </w:rPr>
      </w:pPr>
      <w:r>
        <w:rPr>
          <w:rFonts w:hint="eastAsia" w:ascii="宋体" w:hAnsi="宋体" w:eastAsia="宋体" w:cs="宋体"/>
          <w:color w:val="auto"/>
        </w:rPr>
        <w:t>②投标人对提供的制造商的认定证明负有核实义务及责任。若投标人提供的“中小企业声明函”或认定证明（包括制造商）为虚假声明则视同提供虚假材料，投标人的该行为将报请政府采购监管财政部门按《中华人民共和国政府采购法》第七十七条的规定处理并给予行政处罚。</w:t>
      </w:r>
    </w:p>
    <w:p>
      <w:pPr>
        <w:snapToGrid w:val="0"/>
        <w:spacing w:line="420" w:lineRule="exact"/>
        <w:ind w:firstLine="482" w:firstLineChars="200"/>
        <w:outlineLvl w:val="2"/>
        <w:rPr>
          <w:rFonts w:ascii="宋体" w:hAnsi="宋体" w:eastAsia="宋体"/>
          <w:b/>
          <w:bCs/>
          <w:color w:val="auto"/>
          <w:sz w:val="24"/>
          <w:szCs w:val="24"/>
        </w:rPr>
      </w:pPr>
      <w:r>
        <w:rPr>
          <w:rFonts w:hint="eastAsia" w:ascii="宋体" w:hAnsi="宋体" w:eastAsia="宋体" w:cs="宋体"/>
          <w:b/>
          <w:bCs/>
          <w:color w:val="auto"/>
          <w:sz w:val="24"/>
          <w:szCs w:val="24"/>
        </w:rPr>
        <w:t>（五）综合评分评审因素</w:t>
      </w:r>
    </w:p>
    <w:p>
      <w:pPr>
        <w:widowControl/>
        <w:spacing w:line="360" w:lineRule="exact"/>
        <w:ind w:firstLine="480" w:firstLineChars="200"/>
        <w:jc w:val="left"/>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商务技术分：</w:t>
      </w:r>
      <w:r>
        <w:rPr>
          <w:rFonts w:ascii="宋体" w:hAnsi="宋体" w:eastAsia="宋体" w:cs="宋体"/>
          <w:color w:val="auto"/>
          <w:sz w:val="24"/>
          <w:szCs w:val="24"/>
        </w:rPr>
        <w:t>80</w:t>
      </w:r>
      <w:r>
        <w:rPr>
          <w:rFonts w:hint="eastAsia" w:ascii="宋体" w:hAnsi="宋体" w:eastAsia="宋体" w:cs="宋体"/>
          <w:color w:val="auto"/>
          <w:sz w:val="24"/>
          <w:szCs w:val="24"/>
        </w:rPr>
        <w:t>分</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2034"/>
        <w:gridCol w:w="748"/>
        <w:gridCol w:w="5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68" w:type="dxa"/>
            <w:vAlign w:val="center"/>
          </w:tcPr>
          <w:p>
            <w:pPr>
              <w:snapToGrid w:val="0"/>
              <w:jc w:val="center"/>
              <w:rPr>
                <w:rFonts w:ascii="宋体" w:hAnsi="宋体" w:cs="宋体"/>
                <w:color w:val="auto"/>
                <w:sz w:val="24"/>
                <w:szCs w:val="24"/>
              </w:rPr>
            </w:pPr>
            <w:r>
              <w:rPr>
                <w:rFonts w:hint="eastAsia" w:ascii="宋体" w:hAnsi="宋体" w:eastAsia="宋体" w:cs="宋体"/>
                <w:b/>
                <w:color w:val="auto"/>
                <w:kern w:val="0"/>
                <w:sz w:val="24"/>
                <w:szCs w:val="24"/>
              </w:rPr>
              <w:t>序号</w:t>
            </w:r>
          </w:p>
        </w:tc>
        <w:tc>
          <w:tcPr>
            <w:tcW w:w="2034" w:type="dxa"/>
            <w:vAlign w:val="center"/>
          </w:tcPr>
          <w:p>
            <w:pPr>
              <w:snapToGrid w:val="0"/>
              <w:jc w:val="center"/>
              <w:rPr>
                <w:rFonts w:ascii="宋体" w:hAnsi="宋体" w:cs="宋体"/>
                <w:color w:val="auto"/>
                <w:sz w:val="24"/>
                <w:szCs w:val="24"/>
              </w:rPr>
            </w:pPr>
            <w:r>
              <w:rPr>
                <w:rFonts w:hint="eastAsia" w:ascii="宋体" w:hAnsi="宋体" w:eastAsia="宋体" w:cs="宋体"/>
                <w:b/>
                <w:color w:val="auto"/>
                <w:kern w:val="0"/>
                <w:sz w:val="24"/>
                <w:szCs w:val="24"/>
              </w:rPr>
              <w:t>评审因素</w:t>
            </w:r>
          </w:p>
        </w:tc>
        <w:tc>
          <w:tcPr>
            <w:tcW w:w="748" w:type="dxa"/>
            <w:vAlign w:val="center"/>
          </w:tcPr>
          <w:p>
            <w:pPr>
              <w:snapToGrid w:val="0"/>
              <w:jc w:val="center"/>
              <w:rPr>
                <w:rFonts w:ascii="宋体" w:hAnsi="宋体" w:cs="宋体"/>
                <w:color w:val="auto"/>
                <w:sz w:val="24"/>
                <w:szCs w:val="24"/>
              </w:rPr>
            </w:pPr>
            <w:r>
              <w:rPr>
                <w:rFonts w:hint="eastAsia" w:ascii="宋体" w:hAnsi="宋体" w:eastAsia="宋体" w:cs="宋体"/>
                <w:b/>
                <w:color w:val="auto"/>
                <w:kern w:val="0"/>
                <w:sz w:val="24"/>
                <w:szCs w:val="24"/>
              </w:rPr>
              <w:t>分值</w:t>
            </w:r>
          </w:p>
        </w:tc>
        <w:tc>
          <w:tcPr>
            <w:tcW w:w="5736" w:type="dxa"/>
            <w:vAlign w:val="center"/>
          </w:tcPr>
          <w:p>
            <w:pPr>
              <w:snapToGrid w:val="0"/>
              <w:jc w:val="center"/>
              <w:rPr>
                <w:rFonts w:ascii="宋体" w:hAnsi="宋体" w:cs="宋体"/>
                <w:color w:val="auto"/>
                <w:sz w:val="24"/>
                <w:szCs w:val="24"/>
              </w:rPr>
            </w:pPr>
            <w:r>
              <w:rPr>
                <w:rFonts w:hint="eastAsia" w:ascii="宋体" w:hAnsi="宋体" w:eastAsia="宋体" w:cs="宋体"/>
                <w:b/>
                <w:color w:val="auto"/>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68"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1</w:t>
            </w:r>
          </w:p>
        </w:tc>
        <w:tc>
          <w:tcPr>
            <w:tcW w:w="2034" w:type="dxa"/>
            <w:vAlign w:val="center"/>
          </w:tcPr>
          <w:p>
            <w:pPr>
              <w:snapToGrid w:val="0"/>
              <w:jc w:val="center"/>
              <w:rPr>
                <w:rFonts w:ascii="宋体" w:hAnsi="宋体" w:cs="宋体"/>
                <w:b w:val="0"/>
                <w:bCs/>
                <w:color w:val="auto"/>
                <w:kern w:val="0"/>
                <w:sz w:val="24"/>
                <w:szCs w:val="24"/>
              </w:rPr>
            </w:pPr>
            <w:r>
              <w:rPr>
                <w:rFonts w:hint="eastAsia" w:ascii="宋体" w:hAnsi="宋体" w:eastAsia="宋体" w:cs="宋体"/>
                <w:b/>
                <w:bCs w:val="0"/>
                <w:color w:val="auto"/>
                <w:kern w:val="0"/>
                <w:sz w:val="24"/>
                <w:szCs w:val="24"/>
              </w:rPr>
              <w:t>深化设计方案</w:t>
            </w:r>
          </w:p>
        </w:tc>
        <w:tc>
          <w:tcPr>
            <w:tcW w:w="748" w:type="dxa"/>
            <w:vAlign w:val="center"/>
          </w:tcPr>
          <w:p>
            <w:pPr>
              <w:snapToGrid w:val="0"/>
              <w:jc w:val="center"/>
              <w:rPr>
                <w:rFonts w:ascii="宋体" w:hAnsi="宋体" w:cs="宋体"/>
                <w:b w:val="0"/>
                <w:bCs/>
                <w:color w:val="auto"/>
                <w:sz w:val="24"/>
                <w:szCs w:val="24"/>
              </w:rPr>
            </w:pPr>
            <w:r>
              <w:rPr>
                <w:rFonts w:hint="eastAsia" w:ascii="宋体" w:hAnsi="宋体" w:eastAsia="宋体" w:cs="宋体"/>
                <w:b/>
                <w:bCs w:val="0"/>
                <w:color w:val="auto"/>
                <w:sz w:val="24"/>
                <w:szCs w:val="24"/>
              </w:rPr>
              <w:t>30分</w:t>
            </w:r>
          </w:p>
        </w:tc>
        <w:tc>
          <w:tcPr>
            <w:tcW w:w="5736" w:type="dxa"/>
            <w:vAlign w:val="center"/>
          </w:tcPr>
          <w:p>
            <w:pPr>
              <w:rPr>
                <w:rFonts w:hint="eastAsia" w:ascii="宋体" w:hAnsi="宋体" w:eastAsia="宋体" w:cs="宋体"/>
                <w:bCs/>
                <w:color w:val="auto"/>
                <w:sz w:val="24"/>
                <w:szCs w:val="24"/>
              </w:rPr>
            </w:pPr>
            <w:r>
              <w:rPr>
                <w:rFonts w:hint="eastAsia" w:ascii="宋体" w:hAnsi="宋体" w:eastAsia="宋体" w:cs="宋体"/>
                <w:bCs/>
                <w:color w:val="auto"/>
                <w:sz w:val="24"/>
                <w:szCs w:val="24"/>
              </w:rPr>
              <w:t>投标人对项目需求进行深化设计，须提供实景效果图，并在评标现场进行5分钟以内的PPT演示、说明。</w:t>
            </w:r>
          </w:p>
          <w:p>
            <w:pP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优得2</w:t>
            </w:r>
            <w:r>
              <w:rPr>
                <w:rFonts w:hint="eastAsia" w:ascii="宋体" w:hAnsi="宋体" w:eastAsia="宋体" w:cs="宋体"/>
                <w:bCs/>
                <w:color w:val="auto"/>
                <w:sz w:val="24"/>
                <w:szCs w:val="24"/>
                <w:lang w:val="en-US" w:eastAsia="zh-CN"/>
              </w:rPr>
              <w:t>6-30</w:t>
            </w:r>
            <w:r>
              <w:rPr>
                <w:rFonts w:hint="eastAsia" w:ascii="宋体" w:hAnsi="宋体" w:eastAsia="宋体" w:cs="宋体"/>
                <w:bCs/>
                <w:color w:val="auto"/>
                <w:sz w:val="24"/>
                <w:szCs w:val="24"/>
              </w:rPr>
              <w:t>分，良得</w:t>
            </w:r>
            <w:r>
              <w:rPr>
                <w:rFonts w:hint="eastAsia" w:ascii="宋体" w:hAnsi="宋体" w:eastAsia="宋体" w:cs="宋体"/>
                <w:bCs/>
                <w:color w:val="auto"/>
                <w:sz w:val="24"/>
                <w:szCs w:val="24"/>
                <w:lang w:val="en-US" w:eastAsia="zh-CN"/>
              </w:rPr>
              <w:t>21</w:t>
            </w: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分，一般得1</w:t>
            </w:r>
            <w:r>
              <w:rPr>
                <w:rFonts w:hint="eastAsia" w:ascii="宋体" w:hAnsi="宋体" w:eastAsia="宋体" w:cs="宋体"/>
                <w:bCs/>
                <w:color w:val="auto"/>
                <w:sz w:val="24"/>
                <w:szCs w:val="24"/>
                <w:lang w:val="en-US" w:eastAsia="zh-CN"/>
              </w:rPr>
              <w:t>6</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20</w:t>
            </w:r>
            <w:r>
              <w:rPr>
                <w:rFonts w:hint="eastAsia" w:ascii="宋体" w:hAnsi="宋体" w:eastAsia="宋体" w:cs="宋体"/>
                <w:bCs/>
                <w:color w:val="auto"/>
                <w:sz w:val="24"/>
                <w:szCs w:val="24"/>
              </w:rPr>
              <w:t>分，较差得0-</w:t>
            </w:r>
            <w:r>
              <w:rPr>
                <w:rFonts w:hint="eastAsia" w:ascii="宋体" w:hAnsi="宋体" w:eastAsia="宋体" w:cs="宋体"/>
                <w:bCs/>
                <w:color w:val="auto"/>
                <w:sz w:val="24"/>
                <w:szCs w:val="24"/>
                <w:lang w:val="en-US" w:eastAsia="zh-CN"/>
              </w:rPr>
              <w:t>15</w:t>
            </w:r>
            <w:r>
              <w:rPr>
                <w:rFonts w:hint="eastAsia" w:ascii="宋体" w:hAnsi="宋体" w:eastAsia="宋体" w:cs="宋体"/>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68" w:type="dxa"/>
            <w:vAlign w:val="center"/>
          </w:tcPr>
          <w:p>
            <w:pPr>
              <w:snapToGrid w:val="0"/>
              <w:jc w:val="center"/>
              <w:rPr>
                <w:rFonts w:ascii="宋体" w:hAnsi="宋体" w:cs="宋体"/>
                <w:color w:val="auto"/>
                <w:sz w:val="24"/>
                <w:szCs w:val="24"/>
              </w:rPr>
            </w:pPr>
            <w:r>
              <w:rPr>
                <w:rFonts w:hint="eastAsia" w:ascii="宋体" w:hAnsi="宋体" w:eastAsia="宋体" w:cs="宋体"/>
                <w:color w:val="auto"/>
                <w:kern w:val="0"/>
                <w:sz w:val="24"/>
                <w:szCs w:val="24"/>
              </w:rPr>
              <w:t>1.1</w:t>
            </w:r>
          </w:p>
        </w:tc>
        <w:tc>
          <w:tcPr>
            <w:tcW w:w="2034" w:type="dxa"/>
            <w:vAlign w:val="center"/>
          </w:tcPr>
          <w:p>
            <w:pPr>
              <w:snapToGrid w:val="0"/>
              <w:jc w:val="center"/>
              <w:rPr>
                <w:rFonts w:ascii="宋体" w:hAnsi="宋体" w:cs="宋体"/>
                <w:color w:val="auto"/>
                <w:sz w:val="24"/>
                <w:szCs w:val="24"/>
              </w:rPr>
            </w:pPr>
            <w:r>
              <w:rPr>
                <w:rFonts w:hint="eastAsia" w:ascii="宋体" w:hAnsi="宋体" w:eastAsia="宋体" w:cs="宋体"/>
                <w:color w:val="auto"/>
                <w:kern w:val="0"/>
                <w:sz w:val="24"/>
                <w:szCs w:val="24"/>
              </w:rPr>
              <w:t>整体设计效果</w:t>
            </w:r>
          </w:p>
        </w:tc>
        <w:tc>
          <w:tcPr>
            <w:tcW w:w="748" w:type="dxa"/>
            <w:vAlign w:val="center"/>
          </w:tcPr>
          <w:p>
            <w:pPr>
              <w:snapToGrid w:val="0"/>
              <w:jc w:val="center"/>
              <w:rPr>
                <w:rFonts w:ascii="宋体" w:hAnsi="宋体" w:cs="宋体"/>
                <w:color w:val="auto"/>
                <w:sz w:val="24"/>
                <w:szCs w:val="24"/>
              </w:rPr>
            </w:pPr>
            <w:r>
              <w:rPr>
                <w:rFonts w:hint="eastAsia" w:ascii="宋体" w:hAnsi="宋体" w:eastAsia="宋体" w:cs="宋体"/>
                <w:color w:val="auto"/>
                <w:sz w:val="24"/>
                <w:szCs w:val="24"/>
              </w:rPr>
              <w:t>25分</w:t>
            </w:r>
          </w:p>
        </w:tc>
        <w:tc>
          <w:tcPr>
            <w:tcW w:w="5736" w:type="dxa"/>
            <w:vAlign w:val="center"/>
          </w:tcPr>
          <w:p>
            <w:pPr>
              <w:rPr>
                <w:rFonts w:ascii="宋体" w:hAnsi="宋体" w:cs="宋体"/>
                <w:color w:val="auto"/>
                <w:sz w:val="24"/>
                <w:szCs w:val="24"/>
              </w:rPr>
            </w:pPr>
            <w:r>
              <w:rPr>
                <w:rFonts w:hint="eastAsia" w:ascii="宋体" w:hAnsi="宋体" w:eastAsia="宋体" w:cs="宋体"/>
                <w:color w:val="auto"/>
                <w:sz w:val="24"/>
                <w:szCs w:val="24"/>
              </w:rPr>
              <w:t>整体设计符合老干部学习教育和老干部工作展示等功能定位，贴近建筑设计风格和周边环境，造型简约大气，实用和美化功能并重，形式与内容有机结合，材质工艺尺寸标准清楚、合理，技术性能质量优异。</w:t>
            </w:r>
          </w:p>
          <w:p>
            <w:pPr>
              <w:rPr>
                <w:rFonts w:ascii="宋体" w:hAnsi="宋体" w:cs="宋体"/>
                <w:color w:val="auto"/>
                <w:kern w:val="0"/>
                <w:sz w:val="24"/>
                <w:szCs w:val="24"/>
              </w:rPr>
            </w:pPr>
            <w:r>
              <w:rPr>
                <w:rFonts w:hint="eastAsia" w:ascii="宋体" w:hAnsi="宋体" w:eastAsia="宋体" w:cs="宋体"/>
                <w:color w:val="auto"/>
                <w:sz w:val="24"/>
                <w:szCs w:val="24"/>
              </w:rPr>
              <w:t>现场综合评分，优得2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-25分，良得1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-20分，一般得</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-15分，较差得0-9分。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76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1.2</w:t>
            </w:r>
          </w:p>
        </w:tc>
        <w:tc>
          <w:tcPr>
            <w:tcW w:w="2034" w:type="dxa"/>
            <w:vAlign w:val="center"/>
          </w:tcPr>
          <w:p>
            <w:pPr>
              <w:snapToGrid w:val="0"/>
              <w:rPr>
                <w:rFonts w:ascii="宋体" w:hAnsi="宋体" w:cs="宋体"/>
                <w:color w:val="auto"/>
                <w:kern w:val="0"/>
                <w:sz w:val="24"/>
                <w:szCs w:val="24"/>
              </w:rPr>
            </w:pPr>
            <w:r>
              <w:rPr>
                <w:rFonts w:hint="eastAsia" w:ascii="宋体" w:hAnsi="宋体" w:eastAsia="宋体" w:cs="宋体"/>
                <w:color w:val="auto"/>
                <w:kern w:val="0"/>
                <w:sz w:val="24"/>
                <w:szCs w:val="24"/>
              </w:rPr>
              <w:t>政治、党建、老干部、地域文化等元素体现效果</w:t>
            </w:r>
          </w:p>
        </w:tc>
        <w:tc>
          <w:tcPr>
            <w:tcW w:w="74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5分</w:t>
            </w:r>
          </w:p>
        </w:tc>
        <w:tc>
          <w:tcPr>
            <w:tcW w:w="5736" w:type="dxa"/>
            <w:vAlign w:val="center"/>
          </w:tcPr>
          <w:p>
            <w:pPr>
              <w:widowControl/>
              <w:snapToGrid w:val="0"/>
              <w:textAlignment w:val="center"/>
              <w:rPr>
                <w:rFonts w:ascii="宋体" w:hAnsi="宋体" w:cs="宋体"/>
                <w:color w:val="auto"/>
                <w:sz w:val="24"/>
                <w:szCs w:val="24"/>
              </w:rPr>
            </w:pPr>
            <w:r>
              <w:rPr>
                <w:rFonts w:hint="eastAsia" w:ascii="宋体" w:hAnsi="宋体" w:eastAsia="宋体" w:cs="宋体"/>
                <w:bCs/>
                <w:color w:val="auto"/>
                <w:sz w:val="24"/>
                <w:szCs w:val="24"/>
              </w:rPr>
              <w:t>设计方案体现学习活动阵地政治属性，满足老干部群体需求，有机融入人文特色和南通元素，具有较高文化品位。现场</w:t>
            </w:r>
            <w:r>
              <w:rPr>
                <w:rFonts w:hint="eastAsia" w:ascii="宋体" w:hAnsi="宋体" w:eastAsia="宋体" w:cs="宋体"/>
                <w:color w:val="auto"/>
                <w:sz w:val="24"/>
                <w:szCs w:val="24"/>
              </w:rPr>
              <w:t>综合评分，优得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分，良得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-4分，一般得0-2分。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768"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2</w:t>
            </w:r>
          </w:p>
        </w:tc>
        <w:tc>
          <w:tcPr>
            <w:tcW w:w="2034"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实施方案</w:t>
            </w:r>
          </w:p>
        </w:tc>
        <w:tc>
          <w:tcPr>
            <w:tcW w:w="748" w:type="dxa"/>
            <w:vAlign w:val="center"/>
          </w:tcPr>
          <w:p>
            <w:pPr>
              <w:snapToGrid w:val="0"/>
              <w:jc w:val="center"/>
              <w:rPr>
                <w:rFonts w:ascii="宋体" w:hAnsi="宋体" w:cs="宋体"/>
                <w:b/>
                <w:color w:val="auto"/>
                <w:sz w:val="24"/>
                <w:szCs w:val="24"/>
              </w:rPr>
            </w:pPr>
            <w:r>
              <w:rPr>
                <w:rFonts w:hint="eastAsia" w:ascii="宋体" w:hAnsi="宋体" w:eastAsia="宋体" w:cs="宋体"/>
                <w:b/>
                <w:color w:val="auto"/>
                <w:sz w:val="24"/>
                <w:szCs w:val="24"/>
              </w:rPr>
              <w:t>15分</w:t>
            </w:r>
          </w:p>
        </w:tc>
        <w:tc>
          <w:tcPr>
            <w:tcW w:w="5736" w:type="dxa"/>
            <w:vAlign w:val="center"/>
          </w:tcPr>
          <w:p>
            <w:pPr>
              <w:widowControl/>
              <w:snapToGrid w:val="0"/>
              <w:textAlignment w:val="center"/>
              <w:rPr>
                <w:rFonts w:ascii="宋体" w:hAnsi="宋体" w:cs="宋体"/>
                <w:color w:val="auto"/>
                <w:kern w:val="0"/>
                <w:sz w:val="24"/>
                <w:szCs w:val="24"/>
              </w:rPr>
            </w:pPr>
            <w:r>
              <w:rPr>
                <w:rFonts w:hint="eastAsia" w:ascii="宋体" w:hAnsi="宋体" w:eastAsia="宋体" w:cs="宋体"/>
                <w:color w:val="auto"/>
                <w:sz w:val="24"/>
                <w:szCs w:val="24"/>
              </w:rPr>
              <w:t>投标人</w:t>
            </w:r>
            <w:r>
              <w:rPr>
                <w:rFonts w:hint="eastAsia" w:ascii="宋体" w:hAnsi="宋体" w:eastAsia="宋体" w:cs="宋体"/>
                <w:color w:val="auto"/>
                <w:kern w:val="0"/>
                <w:sz w:val="24"/>
                <w:szCs w:val="24"/>
              </w:rPr>
              <w:t>制定项目实施方案，包括展览材质使用质量控制、互动功能体现</w:t>
            </w:r>
            <w:r>
              <w:rPr>
                <w:rFonts w:hint="eastAsia" w:ascii="宋体" w:hAnsi="宋体" w:eastAsia="宋体" w:cs="宋体"/>
                <w:color w:val="auto"/>
                <w:sz w:val="24"/>
                <w:szCs w:val="24"/>
              </w:rPr>
              <w:t>、安装全过程</w:t>
            </w:r>
            <w:r>
              <w:rPr>
                <w:rFonts w:hint="eastAsia" w:ascii="宋体" w:hAnsi="宋体" w:eastAsia="宋体" w:cs="宋体"/>
                <w:color w:val="auto"/>
                <w:kern w:val="0"/>
                <w:sz w:val="24"/>
                <w:szCs w:val="24"/>
              </w:rPr>
              <w:t>进度</w:t>
            </w:r>
            <w:r>
              <w:rPr>
                <w:rFonts w:hint="eastAsia" w:ascii="宋体" w:hAnsi="宋体" w:eastAsia="宋体" w:cs="宋体"/>
                <w:color w:val="auto"/>
                <w:sz w:val="24"/>
                <w:szCs w:val="24"/>
              </w:rPr>
              <w:t>计划，以及</w:t>
            </w:r>
            <w:r>
              <w:rPr>
                <w:rFonts w:hint="eastAsia" w:ascii="宋体" w:hAnsi="宋体" w:eastAsia="宋体" w:cs="宋体"/>
                <w:color w:val="auto"/>
                <w:kern w:val="0"/>
                <w:sz w:val="24"/>
                <w:szCs w:val="24"/>
              </w:rPr>
              <w:t>团队实力、安全文明施工、</w:t>
            </w:r>
            <w:r>
              <w:rPr>
                <w:rFonts w:hint="eastAsia" w:ascii="宋体" w:hAnsi="宋体" w:eastAsia="宋体" w:cs="宋体"/>
                <w:color w:val="auto"/>
                <w:sz w:val="24"/>
                <w:szCs w:val="24"/>
              </w:rPr>
              <w:t>应急</w:t>
            </w:r>
            <w:r>
              <w:rPr>
                <w:rFonts w:hint="eastAsia" w:ascii="宋体" w:hAnsi="宋体" w:eastAsia="宋体" w:cs="宋体"/>
                <w:color w:val="auto"/>
                <w:kern w:val="0"/>
                <w:sz w:val="24"/>
                <w:szCs w:val="24"/>
              </w:rPr>
              <w:t>保障措施等内容。</w:t>
            </w:r>
          </w:p>
          <w:p>
            <w:pPr>
              <w:widowControl/>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对实施方案的针对性、科学性、新颖性进行横向对比打分，优得1</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-15分，良得</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-10分，一般得0-5分。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68"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3</w:t>
            </w:r>
          </w:p>
        </w:tc>
        <w:tc>
          <w:tcPr>
            <w:tcW w:w="2034"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服务及质保</w:t>
            </w:r>
          </w:p>
        </w:tc>
        <w:tc>
          <w:tcPr>
            <w:tcW w:w="748" w:type="dxa"/>
            <w:vAlign w:val="center"/>
          </w:tcPr>
          <w:p>
            <w:pPr>
              <w:snapToGrid w:val="0"/>
              <w:jc w:val="center"/>
              <w:rPr>
                <w:rFonts w:ascii="宋体" w:hAnsi="宋体" w:cs="宋体"/>
                <w:b/>
                <w:color w:val="auto"/>
                <w:sz w:val="24"/>
                <w:szCs w:val="24"/>
              </w:rPr>
            </w:pPr>
            <w:r>
              <w:rPr>
                <w:rFonts w:hint="eastAsia" w:ascii="宋体" w:hAnsi="宋体" w:eastAsia="宋体" w:cs="宋体"/>
                <w:b/>
                <w:color w:val="auto"/>
                <w:sz w:val="24"/>
                <w:szCs w:val="24"/>
              </w:rPr>
              <w:t>10分</w:t>
            </w:r>
          </w:p>
        </w:tc>
        <w:tc>
          <w:tcPr>
            <w:tcW w:w="5736" w:type="dxa"/>
            <w:vAlign w:val="center"/>
          </w:tcPr>
          <w:p>
            <w:pPr>
              <w:widowControl/>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服务方案及质保承诺。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6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3.1</w:t>
            </w:r>
          </w:p>
        </w:tc>
        <w:tc>
          <w:tcPr>
            <w:tcW w:w="2034" w:type="dxa"/>
            <w:vAlign w:val="center"/>
          </w:tcPr>
          <w:p>
            <w:pPr>
              <w:snapToGrid w:val="0"/>
              <w:jc w:val="center"/>
              <w:rPr>
                <w:rFonts w:ascii="宋体" w:hAnsi="宋体" w:cs="宋体"/>
                <w:color w:val="auto"/>
                <w:kern w:val="0"/>
                <w:sz w:val="24"/>
                <w:szCs w:val="24"/>
              </w:rPr>
            </w:pPr>
            <w:r>
              <w:rPr>
                <w:rFonts w:ascii="宋体" w:hAnsi="宋体" w:eastAsia="宋体" w:cs="宋体"/>
                <w:color w:val="auto"/>
                <w:kern w:val="0"/>
                <w:sz w:val="24"/>
                <w:szCs w:val="24"/>
              </w:rPr>
              <w:t>售后服务方案</w:t>
            </w:r>
          </w:p>
        </w:tc>
        <w:tc>
          <w:tcPr>
            <w:tcW w:w="748" w:type="dxa"/>
            <w:vAlign w:val="center"/>
          </w:tcPr>
          <w:p>
            <w:pPr>
              <w:snapToGrid w:val="0"/>
              <w:jc w:val="center"/>
              <w:rPr>
                <w:rFonts w:ascii="宋体" w:hAnsi="宋体" w:cs="宋体"/>
                <w:color w:val="auto"/>
                <w:sz w:val="24"/>
                <w:szCs w:val="24"/>
              </w:rPr>
            </w:pPr>
            <w:r>
              <w:rPr>
                <w:rFonts w:hint="eastAsia" w:ascii="宋体" w:hAnsi="宋体" w:eastAsia="宋体" w:cs="宋体"/>
                <w:color w:val="auto"/>
                <w:sz w:val="24"/>
                <w:szCs w:val="24"/>
              </w:rPr>
              <w:t>6分</w:t>
            </w:r>
          </w:p>
        </w:tc>
        <w:tc>
          <w:tcPr>
            <w:tcW w:w="5736" w:type="dxa"/>
            <w:vAlign w:val="center"/>
          </w:tcPr>
          <w:p>
            <w:pPr>
              <w:widowControl/>
              <w:snapToGrid w:val="0"/>
              <w:textAlignment w:val="center"/>
              <w:rPr>
                <w:rFonts w:ascii="宋体" w:hAnsi="宋体" w:cs="宋体"/>
                <w:color w:val="auto"/>
                <w:kern w:val="0"/>
                <w:sz w:val="24"/>
                <w:szCs w:val="24"/>
              </w:rPr>
            </w:pPr>
            <w:r>
              <w:rPr>
                <w:rFonts w:hint="eastAsia" w:ascii="宋体" w:hAnsi="宋体" w:eastAsia="宋体" w:cs="宋体"/>
                <w:color w:val="auto"/>
                <w:sz w:val="24"/>
                <w:szCs w:val="24"/>
              </w:rPr>
              <w:t>投标人提供完善、有保障的售后服务体系，及具体的保障方案，从服务承诺、服务措施、响应方案、应急情况处理等进行综合评分，优</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-6分，良</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-4分，一般1-2分。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76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3.2</w:t>
            </w:r>
          </w:p>
        </w:tc>
        <w:tc>
          <w:tcPr>
            <w:tcW w:w="2034"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免费质保期</w:t>
            </w:r>
          </w:p>
        </w:tc>
        <w:tc>
          <w:tcPr>
            <w:tcW w:w="748" w:type="dxa"/>
            <w:vAlign w:val="center"/>
          </w:tcPr>
          <w:p>
            <w:pPr>
              <w:snapToGrid w:val="0"/>
              <w:jc w:val="center"/>
              <w:rPr>
                <w:rFonts w:ascii="宋体" w:hAnsi="宋体" w:cs="宋体"/>
                <w:color w:val="auto"/>
                <w:sz w:val="24"/>
                <w:szCs w:val="24"/>
              </w:rPr>
            </w:pPr>
            <w:r>
              <w:rPr>
                <w:rFonts w:hint="eastAsia" w:ascii="宋体" w:hAnsi="宋体" w:eastAsia="宋体" w:cs="宋体"/>
                <w:color w:val="auto"/>
                <w:sz w:val="24"/>
                <w:szCs w:val="24"/>
              </w:rPr>
              <w:t>4分</w:t>
            </w:r>
          </w:p>
        </w:tc>
        <w:tc>
          <w:tcPr>
            <w:tcW w:w="5736" w:type="dxa"/>
            <w:vAlign w:val="center"/>
          </w:tcPr>
          <w:p>
            <w:pPr>
              <w:widowControl/>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本项目要求整体免费质保期至少为一年，在此基础上每增加一年得2分，最多得4分。须提供免费质保期承诺书，否则此项不得分。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68"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4</w:t>
            </w:r>
          </w:p>
        </w:tc>
        <w:tc>
          <w:tcPr>
            <w:tcW w:w="2034"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企业实力</w:t>
            </w:r>
          </w:p>
        </w:tc>
        <w:tc>
          <w:tcPr>
            <w:tcW w:w="748"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15分</w:t>
            </w:r>
          </w:p>
        </w:tc>
        <w:tc>
          <w:tcPr>
            <w:tcW w:w="5736" w:type="dxa"/>
            <w:vAlign w:val="center"/>
          </w:tcPr>
          <w:p>
            <w:pPr>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投标人应具有高质量履约的基本实力。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6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4</w:t>
            </w:r>
            <w:r>
              <w:rPr>
                <w:rFonts w:ascii="宋体" w:hAnsi="宋体" w:eastAsia="宋体" w:cs="宋体"/>
                <w:color w:val="auto"/>
                <w:kern w:val="0"/>
                <w:sz w:val="24"/>
                <w:szCs w:val="24"/>
              </w:rPr>
              <w:t>.1</w:t>
            </w:r>
          </w:p>
        </w:tc>
        <w:tc>
          <w:tcPr>
            <w:tcW w:w="2034"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财务状况</w:t>
            </w:r>
          </w:p>
        </w:tc>
        <w:tc>
          <w:tcPr>
            <w:tcW w:w="74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6分</w:t>
            </w:r>
          </w:p>
        </w:tc>
        <w:tc>
          <w:tcPr>
            <w:tcW w:w="5736" w:type="dxa"/>
            <w:vAlign w:val="center"/>
          </w:tcPr>
          <w:p>
            <w:pPr>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提供会计事务所或审计事务所出具的2018年、2019年、2020年财务审计报告。有一年度报告得2分；本项最多得6分。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768" w:type="dxa"/>
            <w:vAlign w:val="center"/>
          </w:tcPr>
          <w:p>
            <w:pPr>
              <w:snapToGrid w:val="0"/>
              <w:jc w:val="center"/>
              <w:rPr>
                <w:rFonts w:ascii="宋体" w:hAnsi="宋体" w:cs="宋体"/>
                <w:b/>
                <w:color w:val="auto"/>
                <w:kern w:val="0"/>
                <w:sz w:val="24"/>
                <w:szCs w:val="24"/>
              </w:rPr>
            </w:pPr>
            <w:r>
              <w:rPr>
                <w:rFonts w:hint="eastAsia" w:ascii="宋体" w:hAnsi="宋体" w:eastAsia="宋体" w:cs="宋体"/>
                <w:color w:val="auto"/>
                <w:kern w:val="0"/>
                <w:sz w:val="24"/>
                <w:szCs w:val="24"/>
              </w:rPr>
              <w:t>4</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2</w:t>
            </w:r>
          </w:p>
        </w:tc>
        <w:tc>
          <w:tcPr>
            <w:tcW w:w="2034"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企业信誉</w:t>
            </w:r>
          </w:p>
        </w:tc>
        <w:tc>
          <w:tcPr>
            <w:tcW w:w="74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4分</w:t>
            </w:r>
          </w:p>
        </w:tc>
        <w:tc>
          <w:tcPr>
            <w:tcW w:w="5736" w:type="dxa"/>
            <w:vAlign w:val="center"/>
          </w:tcPr>
          <w:p>
            <w:pPr>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供应商具有AA级信用等级证书的得1分；供应商具有AAA级信用等级证书的得2分；</w:t>
            </w:r>
          </w:p>
          <w:p>
            <w:pPr>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rPr>
              <w:tab/>
            </w:r>
            <w:r>
              <w:rPr>
                <w:rFonts w:hint="eastAsia" w:ascii="宋体" w:hAnsi="宋体" w:eastAsia="宋体" w:cs="宋体"/>
                <w:color w:val="auto"/>
                <w:kern w:val="0"/>
                <w:sz w:val="24"/>
                <w:szCs w:val="24"/>
              </w:rPr>
              <w:t>供应商具有AA级诚信经营示范单位证书的得1分；供应商具有AAA级诚信经营示范单位证书的得2分。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768" w:type="dxa"/>
            <w:vAlign w:val="center"/>
          </w:tcPr>
          <w:p>
            <w:pPr>
              <w:snapToGrid w:val="0"/>
              <w:jc w:val="center"/>
              <w:rPr>
                <w:rFonts w:ascii="宋体" w:hAnsi="宋体" w:cs="宋体"/>
                <w:b/>
                <w:color w:val="auto"/>
                <w:kern w:val="0"/>
                <w:sz w:val="24"/>
                <w:szCs w:val="24"/>
              </w:rPr>
            </w:pPr>
            <w:r>
              <w:rPr>
                <w:rFonts w:hint="eastAsia" w:ascii="宋体" w:hAnsi="宋体" w:eastAsia="宋体" w:cs="宋体"/>
                <w:color w:val="auto"/>
                <w:kern w:val="0"/>
                <w:sz w:val="24"/>
                <w:szCs w:val="24"/>
              </w:rPr>
              <w:t>4</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3</w:t>
            </w:r>
          </w:p>
        </w:tc>
        <w:tc>
          <w:tcPr>
            <w:tcW w:w="2034"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类似业绩</w:t>
            </w:r>
          </w:p>
        </w:tc>
        <w:tc>
          <w:tcPr>
            <w:tcW w:w="748" w:type="dxa"/>
            <w:vAlign w:val="center"/>
          </w:tcPr>
          <w:p>
            <w:pPr>
              <w:snapToGrid w:val="0"/>
              <w:jc w:val="center"/>
              <w:rPr>
                <w:rFonts w:ascii="宋体" w:hAnsi="宋体" w:cs="宋体"/>
                <w:color w:val="auto"/>
                <w:sz w:val="24"/>
                <w:szCs w:val="24"/>
              </w:rPr>
            </w:pPr>
            <w:r>
              <w:rPr>
                <w:rFonts w:hint="eastAsia" w:ascii="宋体" w:hAnsi="宋体" w:eastAsia="宋体" w:cs="宋体"/>
                <w:color w:val="auto"/>
                <w:kern w:val="0"/>
                <w:sz w:val="24"/>
                <w:szCs w:val="24"/>
              </w:rPr>
              <w:t>5分</w:t>
            </w:r>
          </w:p>
        </w:tc>
        <w:tc>
          <w:tcPr>
            <w:tcW w:w="5736" w:type="dxa"/>
            <w:vAlign w:val="center"/>
          </w:tcPr>
          <w:p>
            <w:pPr>
              <w:snapToGrid w:val="0"/>
              <w:textAlignment w:val="center"/>
              <w:rPr>
                <w:rFonts w:ascii="宋体" w:hAnsi="宋体" w:cs="宋体"/>
                <w:color w:val="auto"/>
                <w:kern w:val="0"/>
                <w:sz w:val="24"/>
                <w:szCs w:val="24"/>
              </w:rPr>
            </w:pPr>
            <w:r>
              <w:rPr>
                <w:rFonts w:hint="eastAsia" w:ascii="宋体" w:hAnsi="宋体" w:eastAsia="宋体" w:cs="宋体"/>
                <w:color w:val="auto"/>
                <w:kern w:val="0"/>
                <w:sz w:val="24"/>
                <w:szCs w:val="24"/>
              </w:rPr>
              <w:t>投标人提供2020年1月1日至今承担过的单笔类似项目业绩证明。高于25万元（含）得5分 ，15万（含）-25万得3分，15万元以下得1分。须同时提供合同、超过合同价80%金额的发票、验收报告，不提供或提供不全均不得分。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68"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5</w:t>
            </w:r>
          </w:p>
        </w:tc>
        <w:tc>
          <w:tcPr>
            <w:tcW w:w="2034"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响应程度</w:t>
            </w:r>
          </w:p>
        </w:tc>
        <w:tc>
          <w:tcPr>
            <w:tcW w:w="748" w:type="dxa"/>
            <w:vAlign w:val="center"/>
          </w:tcPr>
          <w:p>
            <w:pPr>
              <w:snapToGrid w:val="0"/>
              <w:jc w:val="center"/>
              <w:rPr>
                <w:rFonts w:ascii="宋体" w:hAnsi="宋体" w:cs="宋体"/>
                <w:b/>
                <w:color w:val="auto"/>
                <w:kern w:val="0"/>
                <w:sz w:val="24"/>
                <w:szCs w:val="24"/>
              </w:rPr>
            </w:pPr>
            <w:r>
              <w:rPr>
                <w:rFonts w:hint="eastAsia" w:ascii="宋体" w:hAnsi="宋体" w:eastAsia="宋体" w:cs="宋体"/>
                <w:b/>
                <w:color w:val="auto"/>
                <w:kern w:val="0"/>
                <w:sz w:val="24"/>
                <w:szCs w:val="24"/>
              </w:rPr>
              <w:t>10分</w:t>
            </w:r>
          </w:p>
        </w:tc>
        <w:tc>
          <w:tcPr>
            <w:tcW w:w="5736" w:type="dxa"/>
            <w:vAlign w:val="center"/>
          </w:tcPr>
          <w:p>
            <w:pPr>
              <w:widowControl/>
              <w:snapToGrid w:val="0"/>
              <w:textAlignment w:val="center"/>
              <w:rPr>
                <w:rFonts w:ascii="宋体" w:hAnsi="宋体" w:cs="宋体"/>
                <w:color w:val="auto"/>
                <w:sz w:val="24"/>
                <w:szCs w:val="24"/>
              </w:rPr>
            </w:pPr>
            <w:r>
              <w:rPr>
                <w:rFonts w:hint="eastAsia" w:ascii="宋体" w:hAnsi="宋体" w:eastAsia="宋体" w:cs="宋体"/>
                <w:color w:val="auto"/>
                <w:kern w:val="0"/>
                <w:sz w:val="24"/>
                <w:szCs w:val="24"/>
              </w:rPr>
              <w:t>投标人重视并对项目投入较多精力，前期准备工作扎实到位，文件资料详实可靠，体现出较高的专业水准。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76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5</w:t>
            </w:r>
            <w:r>
              <w:rPr>
                <w:rFonts w:ascii="宋体" w:hAnsi="宋体" w:eastAsia="宋体" w:cs="宋体"/>
                <w:color w:val="auto"/>
                <w:kern w:val="0"/>
                <w:sz w:val="24"/>
                <w:szCs w:val="24"/>
              </w:rPr>
              <w:t>.1</w:t>
            </w:r>
          </w:p>
        </w:tc>
        <w:tc>
          <w:tcPr>
            <w:tcW w:w="2034"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现场踏勘</w:t>
            </w:r>
          </w:p>
        </w:tc>
        <w:tc>
          <w:tcPr>
            <w:tcW w:w="74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5分</w:t>
            </w:r>
          </w:p>
        </w:tc>
        <w:tc>
          <w:tcPr>
            <w:tcW w:w="5736" w:type="dxa"/>
            <w:vAlign w:val="center"/>
          </w:tcPr>
          <w:p>
            <w:pPr>
              <w:widowControl/>
              <w:snapToGrid w:val="0"/>
              <w:textAlignment w:val="center"/>
              <w:rPr>
                <w:rFonts w:ascii="宋体" w:hAnsi="宋体" w:cs="宋体"/>
                <w:color w:val="auto"/>
                <w:sz w:val="24"/>
                <w:szCs w:val="24"/>
              </w:rPr>
            </w:pPr>
            <w:r>
              <w:rPr>
                <w:rFonts w:hint="eastAsia" w:ascii="宋体" w:hAnsi="宋体" w:eastAsia="宋体" w:cs="宋体"/>
                <w:color w:val="auto"/>
                <w:sz w:val="24"/>
                <w:szCs w:val="24"/>
              </w:rPr>
              <w:t>在投标前详细了解采购方需求，在规定时间内勘察现场。提供采购单位签字确认的现场踏勘函得5分，未提供不得分。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68" w:type="dxa"/>
            <w:vAlign w:val="center"/>
          </w:tcPr>
          <w:p>
            <w:pPr>
              <w:snapToGrid w:val="0"/>
              <w:jc w:val="center"/>
              <w:rPr>
                <w:rFonts w:ascii="宋体" w:hAnsi="宋体" w:cs="宋体"/>
                <w:color w:val="auto"/>
                <w:kern w:val="0"/>
                <w:sz w:val="24"/>
                <w:szCs w:val="24"/>
              </w:rPr>
            </w:pPr>
            <w:r>
              <w:rPr>
                <w:rFonts w:ascii="宋体" w:hAnsi="宋体" w:eastAsia="宋体" w:cs="宋体"/>
                <w:color w:val="auto"/>
                <w:kern w:val="0"/>
                <w:sz w:val="24"/>
                <w:szCs w:val="24"/>
              </w:rPr>
              <w:t>5.</w:t>
            </w:r>
            <w:r>
              <w:rPr>
                <w:rFonts w:hint="eastAsia" w:ascii="宋体" w:hAnsi="宋体" w:eastAsia="宋体" w:cs="宋体"/>
                <w:color w:val="auto"/>
                <w:kern w:val="0"/>
                <w:sz w:val="24"/>
                <w:szCs w:val="24"/>
              </w:rPr>
              <w:t>2</w:t>
            </w:r>
          </w:p>
        </w:tc>
        <w:tc>
          <w:tcPr>
            <w:tcW w:w="2034"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响应文件资料</w:t>
            </w:r>
          </w:p>
        </w:tc>
        <w:tc>
          <w:tcPr>
            <w:tcW w:w="748" w:type="dxa"/>
            <w:vAlign w:val="center"/>
          </w:tcPr>
          <w:p>
            <w:pPr>
              <w:snapToGrid w:val="0"/>
              <w:jc w:val="center"/>
              <w:rPr>
                <w:rFonts w:ascii="宋体" w:hAnsi="宋体" w:cs="宋体"/>
                <w:color w:val="auto"/>
                <w:kern w:val="0"/>
                <w:sz w:val="24"/>
                <w:szCs w:val="24"/>
              </w:rPr>
            </w:pPr>
            <w:r>
              <w:rPr>
                <w:rFonts w:hint="eastAsia" w:ascii="宋体" w:hAnsi="宋体" w:eastAsia="宋体" w:cs="宋体"/>
                <w:color w:val="auto"/>
                <w:kern w:val="0"/>
                <w:sz w:val="24"/>
                <w:szCs w:val="24"/>
              </w:rPr>
              <w:t>5分</w:t>
            </w:r>
          </w:p>
        </w:tc>
        <w:tc>
          <w:tcPr>
            <w:tcW w:w="5736" w:type="dxa"/>
            <w:vAlign w:val="center"/>
          </w:tcPr>
          <w:p>
            <w:pPr>
              <w:widowControl/>
              <w:snapToGrid w:val="0"/>
              <w:textAlignment w:val="center"/>
              <w:rPr>
                <w:rFonts w:ascii="宋体" w:hAnsi="宋体" w:cs="宋体"/>
                <w:color w:val="auto"/>
                <w:sz w:val="24"/>
                <w:szCs w:val="24"/>
              </w:rPr>
            </w:pPr>
            <w:r>
              <w:rPr>
                <w:rFonts w:hint="eastAsia" w:ascii="宋体" w:hAnsi="宋体" w:eastAsia="宋体" w:cs="宋体"/>
                <w:color w:val="auto"/>
                <w:sz w:val="24"/>
                <w:szCs w:val="24"/>
              </w:rPr>
              <w:t>按照磋商文件要求，响应文件编制完整、目录页码齐全、索引合理、顺序条理清晰。优得4-5分，良得2—3分，一般得1分。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286" w:type="dxa"/>
            <w:gridSpan w:val="4"/>
            <w:vAlign w:val="center"/>
          </w:tcPr>
          <w:p>
            <w:pPr>
              <w:widowControl/>
              <w:snapToGrid w:val="0"/>
              <w:textAlignment w:val="center"/>
              <w:rPr>
                <w:rFonts w:ascii="宋体" w:hAnsi="宋体" w:cs="宋体"/>
                <w:b/>
                <w:color w:val="auto"/>
                <w:kern w:val="0"/>
                <w:sz w:val="24"/>
                <w:szCs w:val="24"/>
              </w:rPr>
            </w:pPr>
            <w:r>
              <w:rPr>
                <w:rFonts w:hint="eastAsia" w:ascii="宋体" w:hAnsi="宋体" w:eastAsia="宋体" w:cs="宋体"/>
                <w:b/>
                <w:color w:val="auto"/>
                <w:kern w:val="0"/>
                <w:sz w:val="24"/>
                <w:szCs w:val="24"/>
              </w:rPr>
              <w:t>备注：</w:t>
            </w:r>
            <w:r>
              <w:rPr>
                <w:rFonts w:hint="eastAsia" w:ascii="宋体" w:hAnsi="宋体" w:eastAsia="宋体" w:cs="宋体"/>
                <w:color w:val="auto"/>
                <w:sz w:val="24"/>
                <w:szCs w:val="24"/>
              </w:rPr>
              <w:t>以上证明材料为加盖投标人公章的复印件，且须携带原件备查。投标人未携带原件或因原件不全而产生的后果由投标人自行负责。</w:t>
            </w:r>
          </w:p>
        </w:tc>
      </w:tr>
    </w:tbl>
    <w:p>
      <w:pPr>
        <w:spacing w:line="420" w:lineRule="exact"/>
        <w:ind w:firstLine="480" w:firstLineChars="200"/>
        <w:rPr>
          <w:rFonts w:ascii="宋体" w:hAnsi="宋体" w:eastAsia="宋体" w:cs="宋体"/>
          <w:color w:val="auto"/>
          <w:sz w:val="24"/>
          <w:szCs w:val="24"/>
        </w:rPr>
      </w:pP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2.价格分：20分</w:t>
      </w:r>
    </w:p>
    <w:tbl>
      <w:tblPr>
        <w:tblStyle w:val="47"/>
        <w:tblW w:w="935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756"/>
        <w:gridCol w:w="917"/>
        <w:gridCol w:w="6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709"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序号</w:t>
            </w:r>
          </w:p>
        </w:tc>
        <w:tc>
          <w:tcPr>
            <w:tcW w:w="756"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评审</w:t>
            </w:r>
          </w:p>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因素</w:t>
            </w:r>
          </w:p>
        </w:tc>
        <w:tc>
          <w:tcPr>
            <w:tcW w:w="917" w:type="dxa"/>
            <w:vAlign w:val="center"/>
          </w:tcPr>
          <w:p>
            <w:pPr>
              <w:spacing w:line="240" w:lineRule="exact"/>
              <w:ind w:right="-122" w:rightChars="-47"/>
              <w:jc w:val="center"/>
              <w:rPr>
                <w:rFonts w:ascii="宋体" w:hAnsi="宋体" w:eastAsia="宋体" w:cs="宋体"/>
                <w:color w:val="auto"/>
                <w:sz w:val="24"/>
                <w:szCs w:val="24"/>
              </w:rPr>
            </w:pPr>
            <w:r>
              <w:rPr>
                <w:rFonts w:hint="eastAsia" w:ascii="宋体" w:hAnsi="宋体" w:eastAsia="宋体" w:cs="宋体"/>
                <w:color w:val="auto"/>
                <w:sz w:val="24"/>
                <w:szCs w:val="24"/>
              </w:rPr>
              <w:t>评分值</w:t>
            </w:r>
          </w:p>
        </w:tc>
        <w:tc>
          <w:tcPr>
            <w:tcW w:w="6974" w:type="dxa"/>
            <w:vAlign w:val="center"/>
          </w:tcPr>
          <w:p>
            <w:pPr>
              <w:spacing w:line="240" w:lineRule="exact"/>
              <w:jc w:val="center"/>
              <w:rPr>
                <w:rFonts w:ascii="宋体" w:hAnsi="宋体" w:eastAsia="宋体" w:cs="宋体"/>
                <w:color w:val="auto"/>
                <w:sz w:val="24"/>
                <w:szCs w:val="24"/>
              </w:rPr>
            </w:pPr>
            <w:r>
              <w:rPr>
                <w:rFonts w:hint="eastAsia" w:ascii="宋体" w:hAnsi="宋体" w:eastAsia="宋体" w:cs="宋体"/>
                <w:color w:val="auto"/>
                <w:sz w:val="24"/>
                <w:szCs w:val="24"/>
              </w:rPr>
              <w:t>评审细则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709" w:type="dxa"/>
            <w:vMerge w:val="restart"/>
            <w:vAlign w:val="center"/>
          </w:tcPr>
          <w:p>
            <w:pPr>
              <w:ind w:firstLine="120" w:firstLineChars="50"/>
              <w:rPr>
                <w:rFonts w:ascii="宋体" w:hAnsi="宋体" w:eastAsia="宋体" w:cs="宋体"/>
                <w:color w:val="auto"/>
                <w:sz w:val="24"/>
                <w:szCs w:val="24"/>
              </w:rPr>
            </w:pPr>
            <w:r>
              <w:rPr>
                <w:rFonts w:hint="eastAsia" w:ascii="宋体" w:hAnsi="宋体" w:eastAsia="宋体" w:cs="宋体"/>
                <w:color w:val="auto"/>
                <w:sz w:val="24"/>
                <w:szCs w:val="24"/>
              </w:rPr>
              <w:t>1</w:t>
            </w:r>
          </w:p>
        </w:tc>
        <w:tc>
          <w:tcPr>
            <w:tcW w:w="756" w:type="dxa"/>
            <w:vMerge w:val="restar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磋商</w:t>
            </w:r>
          </w:p>
          <w:p>
            <w:pPr>
              <w:jc w:val="center"/>
              <w:rPr>
                <w:rFonts w:ascii="宋体" w:hAnsi="宋体" w:eastAsia="宋体" w:cs="宋体"/>
                <w:color w:val="auto"/>
                <w:sz w:val="24"/>
                <w:szCs w:val="24"/>
              </w:rPr>
            </w:pPr>
            <w:r>
              <w:rPr>
                <w:rFonts w:hint="eastAsia" w:ascii="宋体" w:hAnsi="宋体" w:eastAsia="宋体" w:cs="宋体"/>
                <w:color w:val="auto"/>
                <w:sz w:val="24"/>
                <w:szCs w:val="24"/>
              </w:rPr>
              <w:t>报价</w:t>
            </w:r>
          </w:p>
        </w:tc>
        <w:tc>
          <w:tcPr>
            <w:tcW w:w="917" w:type="dxa"/>
            <w:vMerge w:val="restart"/>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20分</w:t>
            </w:r>
          </w:p>
        </w:tc>
        <w:tc>
          <w:tcPr>
            <w:tcW w:w="6974" w:type="dxa"/>
            <w:vAlign w:val="center"/>
          </w:tcPr>
          <w:p>
            <w:pPr>
              <w:rPr>
                <w:rFonts w:ascii="宋体" w:hAnsi="宋体" w:eastAsia="宋体" w:cs="宋体"/>
                <w:color w:val="auto"/>
                <w:sz w:val="24"/>
                <w:szCs w:val="24"/>
              </w:rPr>
            </w:pPr>
            <w:r>
              <w:rPr>
                <w:rFonts w:hint="eastAsia" w:ascii="宋体" w:hAnsi="宋体" w:eastAsia="宋体" w:cs="宋体"/>
                <w:color w:val="auto"/>
                <w:sz w:val="24"/>
                <w:szCs w:val="24"/>
              </w:rPr>
              <w:t>综合评分法中的价格分统一采用低价优先法计算，即满足磋商文件要求且最后报价最低的供应商的价格为磋商基准价，其价格分为满分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trPr>
        <w:tc>
          <w:tcPr>
            <w:tcW w:w="709" w:type="dxa"/>
            <w:vMerge w:val="continue"/>
            <w:vAlign w:val="center"/>
          </w:tcPr>
          <w:p>
            <w:pPr>
              <w:ind w:firstLine="480" w:firstLineChars="200"/>
              <w:jc w:val="center"/>
              <w:rPr>
                <w:rFonts w:ascii="宋体" w:hAnsi="宋体" w:eastAsia="宋体" w:cs="宋体"/>
                <w:color w:val="auto"/>
                <w:sz w:val="24"/>
                <w:szCs w:val="24"/>
              </w:rPr>
            </w:pPr>
          </w:p>
        </w:tc>
        <w:tc>
          <w:tcPr>
            <w:tcW w:w="756" w:type="dxa"/>
            <w:vMerge w:val="continue"/>
            <w:vAlign w:val="center"/>
          </w:tcPr>
          <w:p>
            <w:pPr>
              <w:ind w:firstLine="480" w:firstLineChars="200"/>
              <w:jc w:val="center"/>
              <w:rPr>
                <w:rFonts w:ascii="宋体" w:hAnsi="宋体" w:eastAsia="宋体" w:cs="宋体"/>
                <w:color w:val="auto"/>
                <w:sz w:val="24"/>
                <w:szCs w:val="24"/>
              </w:rPr>
            </w:pPr>
          </w:p>
        </w:tc>
        <w:tc>
          <w:tcPr>
            <w:tcW w:w="917" w:type="dxa"/>
            <w:vMerge w:val="continue"/>
            <w:vAlign w:val="center"/>
          </w:tcPr>
          <w:p>
            <w:pPr>
              <w:ind w:firstLine="480" w:firstLineChars="200"/>
              <w:jc w:val="center"/>
              <w:rPr>
                <w:rFonts w:ascii="宋体" w:hAnsi="宋体" w:eastAsia="宋体" w:cs="宋体"/>
                <w:color w:val="auto"/>
                <w:sz w:val="24"/>
                <w:szCs w:val="24"/>
              </w:rPr>
            </w:pPr>
          </w:p>
        </w:tc>
        <w:tc>
          <w:tcPr>
            <w:tcW w:w="6974" w:type="dxa"/>
            <w:vAlign w:val="center"/>
          </w:tcPr>
          <w:p>
            <w:pPr>
              <w:rPr>
                <w:rFonts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磋商报价得分=（磋商基准价/最后磋商报价）×价格权值×100</w:t>
            </w:r>
          </w:p>
        </w:tc>
      </w:tr>
    </w:tbl>
    <w:p>
      <w:pPr>
        <w:snapToGrid w:val="0"/>
        <w:spacing w:line="420" w:lineRule="exact"/>
        <w:outlineLvl w:val="3"/>
        <w:rPr>
          <w:rFonts w:ascii="宋体" w:hAnsi="宋体" w:eastAsia="宋体" w:cs="宋体"/>
          <w:color w:val="auto"/>
          <w:sz w:val="24"/>
          <w:szCs w:val="24"/>
        </w:rPr>
      </w:pPr>
    </w:p>
    <w:p>
      <w:pPr>
        <w:snapToGrid w:val="0"/>
        <w:spacing w:line="420" w:lineRule="exact"/>
        <w:ind w:firstLine="484" w:firstLineChars="202"/>
        <w:outlineLvl w:val="3"/>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评标磋商时磋商小组评委成员对评标磋商细则若有争议，由磋商小组评委成员集体讨论确定并对未尽情况有最终解释权。磋商小组评委成员对需要共同认定的事项存在争议的，应当按照少数服从多数的原则作出结论。持不同意见的磋商小组评委成员应当在评标磋商报告上签署不同意见及理由，否则视为同意评标磋商报告。</w:t>
      </w:r>
    </w:p>
    <w:p>
      <w:pPr>
        <w:snapToGrid w:val="0"/>
        <w:spacing w:line="420" w:lineRule="exact"/>
        <w:ind w:firstLine="525" w:firstLineChars="202"/>
        <w:outlineLvl w:val="3"/>
        <w:rPr>
          <w:rFonts w:ascii="宋体" w:hAnsi="宋体" w:eastAsia="宋体"/>
          <w:color w:val="auto"/>
        </w:rPr>
      </w:pPr>
      <w:r>
        <w:rPr>
          <w:rFonts w:ascii="宋体" w:hAnsi="宋体" w:eastAsia="宋体" w:cs="宋体"/>
          <w:color w:val="auto"/>
        </w:rPr>
        <w:t>4.</w:t>
      </w:r>
      <w:r>
        <w:rPr>
          <w:rFonts w:hint="eastAsia" w:ascii="宋体" w:hAnsi="宋体" w:eastAsia="宋体" w:cs="宋体"/>
          <w:color w:val="auto"/>
        </w:rPr>
        <w:t>对落标的磋商响应供应商不做落标原因的解释。</w:t>
      </w:r>
      <w:bookmarkEnd w:id="7"/>
    </w:p>
    <w:p>
      <w:pPr>
        <w:snapToGrid w:val="0"/>
        <w:spacing w:line="420" w:lineRule="exact"/>
        <w:ind w:firstLine="487" w:firstLineChars="202"/>
        <w:outlineLvl w:val="3"/>
        <w:rPr>
          <w:rFonts w:ascii="宋体" w:hAnsi="宋体" w:eastAsia="宋体"/>
          <w:b/>
          <w:bCs/>
          <w:color w:val="auto"/>
          <w:sz w:val="24"/>
          <w:szCs w:val="24"/>
        </w:rPr>
      </w:pPr>
      <w:r>
        <w:rPr>
          <w:rFonts w:hint="eastAsia" w:ascii="宋体" w:hAnsi="宋体" w:eastAsia="宋体" w:cs="宋体"/>
          <w:b/>
          <w:bCs/>
          <w:color w:val="auto"/>
          <w:sz w:val="24"/>
          <w:szCs w:val="24"/>
        </w:rPr>
        <w:t>五、出现下列情形之一的，作无效磋商处理</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磋商响应文件未按规定要求装订、密封、签署、盖章及资料不齐全的；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磋商响应文件的资料有虚报或者谎报的；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不具备磋商文件规定的资格要求的；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磋商响应文件有重大漏项或重大不合理的；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项目技术、方案不满足项目需求中的要求，有重大偏离或保留的；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6.</w:t>
      </w:r>
      <w:r>
        <w:rPr>
          <w:rFonts w:hint="eastAsia" w:ascii="宋体" w:hAnsi="宋体" w:eastAsia="宋体" w:cs="宋体"/>
          <w:color w:val="auto"/>
          <w:sz w:val="24"/>
          <w:szCs w:val="24"/>
        </w:rPr>
        <w:t>项目需求产品单价被认定为低于成本报价而磋商竞标的；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7</w:t>
      </w:r>
      <w:r>
        <w:rPr>
          <w:rFonts w:hint="eastAsia" w:ascii="宋体" w:hAnsi="宋体" w:eastAsia="宋体" w:cs="宋体"/>
          <w:color w:val="auto"/>
          <w:sz w:val="24"/>
          <w:szCs w:val="24"/>
        </w:rPr>
        <w:t>不符合法律、法规和竞争性磋商文件中规定的实质性响应要求的；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8.</w:t>
      </w:r>
      <w:r>
        <w:rPr>
          <w:rFonts w:hint="eastAsia" w:ascii="宋体" w:hAnsi="宋体" w:eastAsia="宋体" w:cs="宋体"/>
          <w:color w:val="auto"/>
          <w:sz w:val="24"/>
          <w:szCs w:val="24"/>
        </w:rPr>
        <w:t>磋商小组认定为其他情况可确定为无效投标的。</w:t>
      </w:r>
    </w:p>
    <w:p>
      <w:pPr>
        <w:snapToGrid w:val="0"/>
        <w:spacing w:line="420" w:lineRule="exact"/>
        <w:ind w:firstLine="482" w:firstLineChars="200"/>
        <w:outlineLvl w:val="1"/>
        <w:rPr>
          <w:rFonts w:ascii="宋体" w:hAnsi="宋体" w:eastAsia="宋体"/>
          <w:color w:val="auto"/>
          <w:sz w:val="24"/>
          <w:szCs w:val="24"/>
        </w:rPr>
      </w:pPr>
      <w:r>
        <w:rPr>
          <w:rFonts w:hint="eastAsia" w:ascii="宋体" w:hAnsi="宋体" w:eastAsia="宋体" w:cs="宋体"/>
          <w:b/>
          <w:bCs/>
          <w:color w:val="auto"/>
          <w:sz w:val="24"/>
          <w:szCs w:val="24"/>
        </w:rPr>
        <w:t>六、有下列情形之一的，视为磋商响应供应商串通竞标，其磋商无效</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不同磋商响应供应商的磋商响应文件由同一单位或者个人编制；</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不同磋商响应供应商委托同一单位或者个人办理磋商竞标事宜；</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不同磋商响应供应商的磋商响应文件载明的项目管理成员或者联系人员为同一人；</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不同磋商响应供应商的磋商响应文件异常一致或者首次、二次（最终）报价呈规律性差异；</w:t>
      </w:r>
    </w:p>
    <w:p>
      <w:pPr>
        <w:snapToGrid w:val="0"/>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5.</w:t>
      </w:r>
      <w:r>
        <w:rPr>
          <w:rFonts w:hint="eastAsia" w:ascii="宋体" w:hAnsi="宋体" w:eastAsia="宋体" w:cs="宋体"/>
          <w:color w:val="auto"/>
          <w:sz w:val="24"/>
          <w:szCs w:val="24"/>
        </w:rPr>
        <w:t>不同磋商响应供应商的磋商响应文件相互混装。</w:t>
      </w:r>
    </w:p>
    <w:p>
      <w:pPr>
        <w:snapToGrid w:val="0"/>
        <w:spacing w:line="420" w:lineRule="exact"/>
        <w:ind w:firstLine="487" w:firstLineChars="202"/>
        <w:outlineLvl w:val="1"/>
        <w:rPr>
          <w:rFonts w:ascii="宋体" w:hAnsi="宋体" w:eastAsia="宋体" w:cs="宋体"/>
          <w:b/>
          <w:bCs/>
          <w:color w:val="auto"/>
          <w:sz w:val="24"/>
          <w:szCs w:val="24"/>
        </w:rPr>
      </w:pPr>
      <w:r>
        <w:rPr>
          <w:rFonts w:hint="eastAsia" w:ascii="宋体" w:hAnsi="宋体" w:eastAsia="宋体" w:cs="宋体"/>
          <w:b/>
          <w:bCs/>
          <w:color w:val="auto"/>
          <w:sz w:val="24"/>
          <w:szCs w:val="24"/>
        </w:rPr>
        <w:t>七、出现下列情形之一的，</w:t>
      </w:r>
      <w:r>
        <w:rPr>
          <w:rFonts w:hint="eastAsia" w:ascii="宋体" w:hAnsi="宋体" w:eastAsia="宋体" w:cs="宋体"/>
          <w:b/>
          <w:bCs/>
          <w:color w:val="auto"/>
          <w:spacing w:val="4"/>
          <w:sz w:val="24"/>
          <w:szCs w:val="24"/>
          <w:shd w:val="clear" w:color="auto" w:fill="FFFFFF"/>
        </w:rPr>
        <w:t>采购人或者采购代理机构应当终止竞争性磋商采购活动，发布项目终止公告并说明原因，重新开展采购活动：</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因情况变化，不再符合规定的竞争性磋商采购方式所适用情形的；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磋商响应供应商报价超出采购预算价的；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出现影响采购公正的违法、违规行为的；</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因重大变故，采购任务取消的。</w:t>
      </w:r>
    </w:p>
    <w:p>
      <w:pPr>
        <w:snapToGrid w:val="0"/>
        <w:spacing w:line="420" w:lineRule="exact"/>
        <w:ind w:firstLine="487" w:firstLineChars="202"/>
        <w:outlineLvl w:val="1"/>
        <w:rPr>
          <w:rFonts w:ascii="宋体" w:hAnsi="宋体" w:eastAsia="宋体"/>
          <w:b/>
          <w:bCs/>
          <w:color w:val="auto"/>
          <w:sz w:val="24"/>
          <w:szCs w:val="24"/>
        </w:rPr>
      </w:pPr>
      <w:r>
        <w:rPr>
          <w:rFonts w:hint="eastAsia" w:ascii="宋体" w:hAnsi="宋体" w:eastAsia="宋体" w:cs="宋体"/>
          <w:b/>
          <w:bCs/>
          <w:color w:val="auto"/>
          <w:sz w:val="24"/>
          <w:szCs w:val="24"/>
        </w:rPr>
        <w:t>八、成交通知</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竞争性磋商结束后，采购人或者采购代理机构将成交结果在指定媒体上发布，公告</w:t>
      </w:r>
      <w:r>
        <w:rPr>
          <w:rFonts w:ascii="宋体" w:hAnsi="宋体" w:eastAsia="宋体" w:cs="宋体"/>
          <w:color w:val="auto"/>
          <w:sz w:val="24"/>
          <w:szCs w:val="24"/>
        </w:rPr>
        <w:t>1</w:t>
      </w:r>
      <w:r>
        <w:rPr>
          <w:rFonts w:hint="eastAsia" w:ascii="宋体" w:hAnsi="宋体" w:eastAsia="宋体" w:cs="宋体"/>
          <w:color w:val="auto"/>
          <w:sz w:val="24"/>
          <w:szCs w:val="24"/>
        </w:rPr>
        <w:t>个工作日；</w:t>
      </w:r>
    </w:p>
    <w:p>
      <w:pPr>
        <w:spacing w:line="420" w:lineRule="exact"/>
        <w:ind w:firstLine="484" w:firstLineChars="202"/>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成交结果公告的有效期限为</w:t>
      </w:r>
      <w:r>
        <w:rPr>
          <w:rFonts w:ascii="宋体" w:hAnsi="宋体" w:eastAsia="宋体" w:cs="宋体"/>
          <w:color w:val="auto"/>
          <w:sz w:val="24"/>
          <w:szCs w:val="24"/>
        </w:rPr>
        <w:t>1</w:t>
      </w:r>
      <w:r>
        <w:rPr>
          <w:rFonts w:hint="eastAsia" w:ascii="宋体" w:hAnsi="宋体" w:eastAsia="宋体" w:cs="宋体"/>
          <w:color w:val="auto"/>
          <w:sz w:val="24"/>
          <w:szCs w:val="24"/>
        </w:rPr>
        <w:t>个工作日，期限结束后向成交人发出《成交通知书》。</w:t>
      </w:r>
    </w:p>
    <w:p>
      <w:pPr>
        <w:spacing w:line="420" w:lineRule="exact"/>
        <w:ind w:firstLine="484" w:firstLineChars="202"/>
        <w:rPr>
          <w:rFonts w:ascii="宋体" w:hAnsi="宋体" w:eastAsia="宋体"/>
          <w:b/>
          <w:bCs/>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《成交通知书》一经发出，即具有法律效力。采购人、成交人依法承担法律责任。</w:t>
      </w:r>
    </w:p>
    <w:p>
      <w:pPr>
        <w:rPr>
          <w:color w:val="auto"/>
        </w:rPr>
      </w:pPr>
    </w:p>
    <w:p>
      <w:pPr>
        <w:rPr>
          <w:color w:val="auto"/>
        </w:rPr>
      </w:pPr>
    </w:p>
    <w:p>
      <w:pPr>
        <w:rPr>
          <w:color w:val="auto"/>
        </w:rPr>
      </w:pPr>
    </w:p>
    <w:p>
      <w:pPr>
        <w:pStyle w:val="2"/>
        <w:spacing w:before="120"/>
        <w:ind w:firstLine="0" w:firstLineChars="0"/>
        <w:rPr>
          <w:rFonts w:cs="Times New Roman"/>
          <w:color w:val="auto"/>
        </w:rPr>
      </w:pPr>
    </w:p>
    <w:p>
      <w:pPr>
        <w:tabs>
          <w:tab w:val="left" w:pos="1050"/>
          <w:tab w:val="right" w:leader="dot" w:pos="9402"/>
        </w:tabs>
        <w:spacing w:beforeLines="100" w:line="600" w:lineRule="exact"/>
        <w:jc w:val="center"/>
        <w:outlineLvl w:val="0"/>
        <w:rPr>
          <w:rFonts w:ascii="宋体" w:hAnsi="宋体" w:eastAsia="宋体"/>
          <w:b/>
          <w:bCs/>
          <w:color w:val="auto"/>
          <w:w w:val="80"/>
          <w:sz w:val="30"/>
          <w:szCs w:val="30"/>
        </w:rPr>
      </w:pPr>
      <w:r>
        <w:rPr>
          <w:rFonts w:hint="eastAsia" w:ascii="宋体" w:hAnsi="宋体" w:eastAsia="宋体" w:cs="宋体"/>
          <w:b/>
          <w:bCs/>
          <w:color w:val="auto"/>
          <w:w w:val="80"/>
          <w:sz w:val="36"/>
          <w:szCs w:val="36"/>
        </w:rPr>
        <w:t>第五章</w:t>
      </w:r>
      <w:r>
        <w:rPr>
          <w:rFonts w:hint="eastAsia" w:ascii="宋体" w:hAnsi="宋体" w:eastAsia="宋体" w:cs="宋体"/>
          <w:b/>
          <w:bCs/>
          <w:color w:val="auto"/>
          <w:w w:val="80"/>
          <w:sz w:val="36"/>
          <w:szCs w:val="36"/>
          <w:lang w:val="en-US" w:eastAsia="zh-CN"/>
        </w:rPr>
        <w:t xml:space="preserve">  </w:t>
      </w:r>
      <w:r>
        <w:rPr>
          <w:rFonts w:hint="eastAsia" w:ascii="宋体" w:hAnsi="宋体" w:eastAsia="宋体" w:cs="宋体"/>
          <w:b/>
          <w:bCs/>
          <w:color w:val="auto"/>
          <w:w w:val="80"/>
          <w:sz w:val="36"/>
          <w:szCs w:val="36"/>
        </w:rPr>
        <w:t>合同授予</w:t>
      </w:r>
      <w:bookmarkStart w:id="8" w:name="_Toc94585343"/>
      <w:bookmarkStart w:id="9" w:name="_Toc363573858"/>
      <w:r>
        <w:rPr>
          <w:rFonts w:hint="eastAsia" w:ascii="宋体" w:hAnsi="宋体" w:eastAsia="宋体" w:cs="宋体"/>
          <w:b/>
          <w:bCs/>
          <w:color w:val="auto"/>
          <w:w w:val="80"/>
          <w:sz w:val="36"/>
          <w:szCs w:val="36"/>
        </w:rPr>
        <w:t>及主要条款</w:t>
      </w:r>
    </w:p>
    <w:p>
      <w:pPr>
        <w:spacing w:line="420" w:lineRule="exact"/>
        <w:ind w:firstLine="484" w:firstLineChars="202"/>
        <w:rPr>
          <w:rFonts w:ascii="宋体" w:hAnsi="宋体" w:eastAsia="宋体"/>
          <w:color w:val="auto"/>
          <w:kern w:val="0"/>
          <w:sz w:val="24"/>
          <w:szCs w:val="24"/>
        </w:rPr>
      </w:pPr>
      <w:r>
        <w:rPr>
          <w:rFonts w:hint="eastAsia" w:ascii="宋体" w:hAnsi="宋体" w:eastAsia="宋体" w:cs="宋体"/>
          <w:color w:val="auto"/>
          <w:kern w:val="0"/>
          <w:sz w:val="24"/>
          <w:szCs w:val="24"/>
        </w:rPr>
        <w:t>一、中标人在接到采购代理机构发出送达的《成交通知书》后</w:t>
      </w:r>
      <w:r>
        <w:rPr>
          <w:rFonts w:ascii="宋体" w:hAnsi="宋体" w:eastAsia="宋体" w:cs="宋体"/>
          <w:color w:val="auto"/>
          <w:kern w:val="0"/>
          <w:sz w:val="24"/>
          <w:szCs w:val="24"/>
        </w:rPr>
        <w:t>5</w:t>
      </w:r>
      <w:r>
        <w:rPr>
          <w:rFonts w:hint="eastAsia" w:ascii="宋体" w:hAnsi="宋体" w:eastAsia="宋体" w:cs="宋体"/>
          <w:color w:val="auto"/>
          <w:kern w:val="0"/>
          <w:sz w:val="24"/>
          <w:szCs w:val="24"/>
        </w:rPr>
        <w:t>日内与采购人签订政府采购合同（一式肆份，采购人、成交人各执两份），所签合同不得对磋商文件作实质性修改，由此给采购人造成损失的，中标人还应承担赔偿责任。采购人不得向中标人提出不合理的要求作为签订合同的条件，不得与中标人私下订立背离谈判文件实质性内容的协议。</w:t>
      </w:r>
    </w:p>
    <w:p>
      <w:pPr>
        <w:spacing w:line="420" w:lineRule="exact"/>
        <w:ind w:firstLine="484" w:firstLineChars="202"/>
        <w:rPr>
          <w:rFonts w:ascii="宋体" w:hAnsi="宋体" w:eastAsia="宋体"/>
          <w:color w:val="auto"/>
          <w:kern w:val="0"/>
          <w:sz w:val="24"/>
          <w:szCs w:val="24"/>
        </w:rPr>
      </w:pPr>
      <w:r>
        <w:rPr>
          <w:rFonts w:hint="eastAsia" w:ascii="宋体" w:hAnsi="宋体" w:eastAsia="宋体" w:cs="宋体"/>
          <w:color w:val="auto"/>
          <w:kern w:val="0"/>
          <w:sz w:val="24"/>
          <w:szCs w:val="24"/>
        </w:rPr>
        <w:t>二、磋商文件、中标人的磋商响应文件及磋商评审过程中有关书面澄清、承诺等均应作为合同附件，具有同等的法律效力。</w:t>
      </w:r>
    </w:p>
    <w:p>
      <w:pPr>
        <w:spacing w:line="420" w:lineRule="exact"/>
        <w:ind w:firstLine="484" w:firstLineChars="202"/>
        <w:rPr>
          <w:rFonts w:ascii="宋体" w:hAnsi="宋体" w:eastAsia="宋体"/>
          <w:color w:val="auto"/>
          <w:kern w:val="0"/>
          <w:sz w:val="24"/>
          <w:szCs w:val="24"/>
        </w:rPr>
      </w:pPr>
      <w:r>
        <w:rPr>
          <w:rFonts w:hint="eastAsia" w:ascii="宋体" w:hAnsi="宋体" w:eastAsia="宋体" w:cs="宋体"/>
          <w:color w:val="auto"/>
          <w:kern w:val="0"/>
          <w:sz w:val="24"/>
          <w:szCs w:val="24"/>
        </w:rPr>
        <w:t>三、中标人不得采用转包、分包的形式履行合同，否则，采购人有权终止合同，造成采购人损失的，中标人应承担相应赔偿责任。</w:t>
      </w:r>
    </w:p>
    <w:p>
      <w:pPr>
        <w:snapToGrid w:val="0"/>
        <w:spacing w:line="420" w:lineRule="exact"/>
        <w:ind w:firstLine="484" w:firstLineChars="202"/>
        <w:outlineLvl w:val="1"/>
        <w:rPr>
          <w:rFonts w:ascii="宋体" w:hAnsi="宋体" w:eastAsia="宋体"/>
          <w:color w:val="auto"/>
          <w:kern w:val="0"/>
          <w:sz w:val="24"/>
          <w:szCs w:val="24"/>
        </w:rPr>
      </w:pPr>
      <w:r>
        <w:rPr>
          <w:rFonts w:hint="eastAsia" w:ascii="宋体" w:hAnsi="宋体" w:eastAsia="宋体" w:cs="宋体"/>
          <w:color w:val="auto"/>
          <w:kern w:val="0"/>
          <w:sz w:val="24"/>
          <w:szCs w:val="24"/>
        </w:rPr>
        <w:t>四、双方签订的合同中应明确规定双方应当严格遵守国家有关廉政建设的相关规定。</w:t>
      </w: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r>
        <w:rPr>
          <w:rFonts w:hint="eastAsia" w:ascii="宋体" w:hAnsi="宋体" w:eastAsia="宋体" w:cs="宋体"/>
          <w:b/>
          <w:bCs/>
          <w:color w:val="auto"/>
          <w:w w:val="80"/>
          <w:sz w:val="36"/>
          <w:szCs w:val="36"/>
        </w:rPr>
        <w:t>第六章</w:t>
      </w:r>
      <w:bookmarkEnd w:id="8"/>
      <w:r>
        <w:rPr>
          <w:rFonts w:hint="eastAsia" w:ascii="宋体" w:hAnsi="宋体" w:eastAsia="宋体" w:cs="宋体"/>
          <w:b/>
          <w:bCs/>
          <w:color w:val="auto"/>
          <w:w w:val="80"/>
          <w:sz w:val="36"/>
          <w:szCs w:val="36"/>
          <w:lang w:val="en-US" w:eastAsia="zh-CN"/>
        </w:rPr>
        <w:t xml:space="preserve">  </w:t>
      </w:r>
      <w:r>
        <w:rPr>
          <w:rFonts w:hint="eastAsia" w:ascii="宋体" w:hAnsi="宋体" w:eastAsia="宋体" w:cs="宋体"/>
          <w:b/>
          <w:bCs/>
          <w:color w:val="auto"/>
          <w:w w:val="80"/>
          <w:sz w:val="36"/>
          <w:szCs w:val="36"/>
        </w:rPr>
        <w:t>履约验收及付款</w:t>
      </w:r>
      <w:bookmarkEnd w:id="9"/>
    </w:p>
    <w:p>
      <w:pPr>
        <w:spacing w:line="420" w:lineRule="exact"/>
        <w:ind w:firstLine="484" w:firstLineChars="202"/>
        <w:rPr>
          <w:rFonts w:ascii="宋体" w:hAnsi="宋体" w:eastAsia="宋体"/>
          <w:color w:val="auto"/>
          <w:kern w:val="0"/>
          <w:sz w:val="24"/>
          <w:szCs w:val="24"/>
        </w:rPr>
      </w:pPr>
      <w:r>
        <w:rPr>
          <w:rFonts w:hint="eastAsia" w:ascii="宋体" w:hAnsi="宋体" w:eastAsia="宋体" w:cs="宋体"/>
          <w:color w:val="auto"/>
          <w:kern w:val="0"/>
          <w:sz w:val="24"/>
          <w:szCs w:val="24"/>
        </w:rPr>
        <w:t>一、采购人和成交人应相互配合，按采购合同约定积极组织本项目的实施，确保按时履约提供服务。</w:t>
      </w:r>
    </w:p>
    <w:p>
      <w:pPr>
        <w:spacing w:line="420" w:lineRule="exact"/>
        <w:ind w:firstLine="484" w:firstLineChars="202"/>
        <w:rPr>
          <w:rFonts w:ascii="宋体" w:hAnsi="宋体" w:eastAsia="宋体"/>
          <w:color w:val="auto"/>
          <w:kern w:val="0"/>
          <w:sz w:val="24"/>
          <w:szCs w:val="24"/>
        </w:rPr>
      </w:pPr>
      <w:r>
        <w:rPr>
          <w:rFonts w:hint="eastAsia" w:ascii="宋体" w:hAnsi="宋体" w:eastAsia="宋体" w:cs="宋体"/>
          <w:color w:val="auto"/>
          <w:kern w:val="0"/>
          <w:sz w:val="24"/>
          <w:szCs w:val="24"/>
        </w:rPr>
        <w:t>二、履约完成后，成交人应以书面形式向采购人提出验收申请，采购人接到申请后应及时组织验收。</w:t>
      </w:r>
    </w:p>
    <w:p>
      <w:pPr>
        <w:spacing w:line="420" w:lineRule="exact"/>
        <w:ind w:firstLine="484" w:firstLineChars="202"/>
        <w:rPr>
          <w:rFonts w:ascii="宋体" w:hAnsi="宋体" w:eastAsia="宋体"/>
          <w:color w:val="auto"/>
          <w:kern w:val="0"/>
          <w:sz w:val="24"/>
          <w:szCs w:val="24"/>
        </w:rPr>
      </w:pPr>
      <w:r>
        <w:rPr>
          <w:rFonts w:hint="eastAsia" w:ascii="宋体" w:hAnsi="宋体" w:eastAsia="宋体" w:cs="宋体"/>
          <w:color w:val="auto"/>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spacing w:line="420" w:lineRule="exact"/>
        <w:ind w:firstLine="484" w:firstLineChars="202"/>
        <w:rPr>
          <w:rFonts w:ascii="宋体" w:hAnsi="宋体" w:eastAsia="宋体"/>
          <w:color w:val="auto"/>
          <w:kern w:val="0"/>
          <w:sz w:val="24"/>
          <w:szCs w:val="24"/>
        </w:rPr>
      </w:pPr>
      <w:r>
        <w:rPr>
          <w:rFonts w:hint="eastAsia" w:ascii="宋体" w:hAnsi="宋体" w:eastAsia="宋体" w:cs="宋体"/>
          <w:color w:val="auto"/>
          <w:kern w:val="0"/>
          <w:sz w:val="24"/>
          <w:szCs w:val="24"/>
        </w:rPr>
        <w:t>四、按采购合同约定的支付方式，及时支付服务款项。</w:t>
      </w:r>
    </w:p>
    <w:bookmarkEnd w:id="6"/>
    <w:p>
      <w:pPr>
        <w:rPr>
          <w:color w:val="auto"/>
        </w:rPr>
      </w:pPr>
      <w:bookmarkStart w:id="10" w:name="_Toc363573859"/>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r>
        <w:rPr>
          <w:rFonts w:hint="eastAsia" w:ascii="宋体" w:hAnsi="宋体" w:eastAsia="宋体" w:cs="宋体"/>
          <w:b/>
          <w:bCs/>
          <w:color w:val="auto"/>
          <w:w w:val="80"/>
          <w:sz w:val="36"/>
          <w:szCs w:val="36"/>
        </w:rPr>
        <w:t>第七章</w:t>
      </w:r>
      <w:r>
        <w:rPr>
          <w:rFonts w:hint="eastAsia" w:ascii="宋体" w:hAnsi="宋体" w:eastAsia="宋体" w:cs="宋体"/>
          <w:b/>
          <w:bCs/>
          <w:color w:val="auto"/>
          <w:w w:val="80"/>
          <w:sz w:val="36"/>
          <w:szCs w:val="36"/>
          <w:lang w:val="en-US" w:eastAsia="zh-CN"/>
        </w:rPr>
        <w:t xml:space="preserve">  </w:t>
      </w:r>
      <w:r>
        <w:rPr>
          <w:rFonts w:hint="eastAsia" w:ascii="宋体" w:hAnsi="宋体" w:eastAsia="宋体" w:cs="宋体"/>
          <w:b/>
          <w:bCs/>
          <w:color w:val="auto"/>
          <w:w w:val="80"/>
          <w:sz w:val="36"/>
          <w:szCs w:val="36"/>
        </w:rPr>
        <w:t>质疑与投诉</w:t>
      </w:r>
      <w:bookmarkEnd w:id="10"/>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一、质疑的提出</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1.</w:t>
      </w:r>
      <w:r>
        <w:rPr>
          <w:rFonts w:hint="eastAsia" w:ascii="宋体" w:hAnsi="宋体" w:eastAsia="宋体" w:cs="宋体"/>
          <w:color w:val="auto"/>
          <w:kern w:val="0"/>
          <w:sz w:val="24"/>
          <w:szCs w:val="24"/>
        </w:rPr>
        <w:t>质疑必须是直接参加本次招投标活动的当事人。</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取得磋商文件的供应商应根据磋商文件第二章“供应商须知”中“第一条第</w:t>
      </w:r>
      <w:r>
        <w:rPr>
          <w:rFonts w:ascii="宋体" w:hAnsi="宋体" w:eastAsia="宋体" w:cs="宋体"/>
          <w:color w:val="auto"/>
          <w:kern w:val="0"/>
          <w:sz w:val="24"/>
          <w:szCs w:val="24"/>
        </w:rPr>
        <w:t>4</w:t>
      </w:r>
      <w:r>
        <w:rPr>
          <w:rFonts w:hint="eastAsia" w:ascii="宋体" w:hAnsi="宋体" w:eastAsia="宋体" w:cs="宋体"/>
          <w:color w:val="auto"/>
          <w:kern w:val="0"/>
          <w:sz w:val="24"/>
          <w:szCs w:val="24"/>
        </w:rPr>
        <w:t>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3.</w:t>
      </w:r>
      <w:r>
        <w:rPr>
          <w:rFonts w:hint="eastAsia" w:ascii="宋体" w:hAnsi="宋体" w:eastAsia="宋体" w:cs="宋体"/>
          <w:color w:val="auto"/>
          <w:kern w:val="0"/>
          <w:sz w:val="24"/>
          <w:szCs w:val="24"/>
        </w:rPr>
        <w:t>提出质疑时，必须坚持“谁主张，谁举证”、“实事求是”的原则，不能臆测。属于须由法定部门调查、侦查或先行作出相关认定的事项，质疑人应当依法申请具有法定职权的部门查清、认定，并将相关结果提供给招标采购人、采购单位。招标采购人、采购单位不具有法定调查、认定的权限。</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对本次招投标有质疑的，须实名制以书面形式提出，不得进行匿名、虚假、恶意质疑。</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对不能提供相关佐证材料的、涉及商业秘密的、非书面形式的、非送达的、匿名的《质疑函》作无效质疑处理，将不予受理。</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相关佐证材料要具备客观性、关联性、合法性，无法查实的（如宣传册、媒体报道、猜测、推理等）不能作为佐证材料。</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采购人、采购代理机构不负责搜集相关佐证材料等工作。</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二、《质疑函》的受理和回复</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1.</w:t>
      </w:r>
      <w:r>
        <w:rPr>
          <w:rFonts w:hint="eastAsia" w:ascii="宋体" w:hAnsi="宋体" w:eastAsia="宋体" w:cs="宋体"/>
          <w:color w:val="auto"/>
          <w:kern w:val="0"/>
          <w:sz w:val="24"/>
          <w:szCs w:val="24"/>
        </w:rPr>
        <w:t>《质疑函》须由质疑人的法定代表人或参加本次招标的委托代理人送达采购人和采购代理机构。</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对符合提出质疑要求的，采购人签收并出具《质疑受理通知书》并在</w:t>
      </w:r>
      <w:r>
        <w:rPr>
          <w:rFonts w:ascii="宋体" w:hAnsi="宋体" w:eastAsia="宋体" w:cs="宋体"/>
          <w:color w:val="auto"/>
          <w:kern w:val="0"/>
          <w:sz w:val="24"/>
          <w:szCs w:val="24"/>
        </w:rPr>
        <w:t>7</w:t>
      </w:r>
      <w:r>
        <w:rPr>
          <w:rFonts w:hint="eastAsia" w:ascii="宋体" w:hAnsi="宋体" w:eastAsia="宋体" w:cs="宋体"/>
          <w:color w:val="auto"/>
          <w:kern w:val="0"/>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3.</w:t>
      </w:r>
      <w:r>
        <w:rPr>
          <w:rFonts w:hint="eastAsia" w:ascii="宋体" w:hAnsi="宋体" w:eastAsia="宋体" w:cs="宋体"/>
          <w:color w:val="auto"/>
          <w:kern w:val="0"/>
          <w:sz w:val="24"/>
          <w:szCs w:val="24"/>
        </w:rPr>
        <w:t>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采购人负责将质疑人提交的质疑相关材料提供给相关专家或评标小组审核，并将审核意见回复质疑人。</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5.</w:t>
      </w:r>
      <w:r>
        <w:rPr>
          <w:rFonts w:hint="eastAsia" w:ascii="宋体" w:hAnsi="宋体" w:eastAsia="宋体" w:cs="宋体"/>
          <w:color w:val="auto"/>
          <w:kern w:val="0"/>
          <w:sz w:val="24"/>
          <w:szCs w:val="24"/>
        </w:rPr>
        <w:t>因质疑情况复杂，组织论证或审查时间较长的，采购人以书面形式通知质疑人，可适当延长质疑回复处理时间。</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三、质疑处理</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1.</w:t>
      </w:r>
      <w:r>
        <w:rPr>
          <w:rFonts w:hint="eastAsia" w:ascii="宋体" w:hAnsi="宋体" w:eastAsia="宋体" w:cs="宋体"/>
          <w:color w:val="auto"/>
          <w:kern w:val="0"/>
          <w:sz w:val="24"/>
          <w:szCs w:val="24"/>
        </w:rPr>
        <w:t>质疑成立的处理。采购人终止采购，并建议监管部门给相关当事人予以处理。</w:t>
      </w:r>
    </w:p>
    <w:p>
      <w:pPr>
        <w:snapToGrid w:val="0"/>
        <w:spacing w:line="420" w:lineRule="exact"/>
        <w:ind w:firstLine="480" w:firstLineChars="200"/>
        <w:rPr>
          <w:rFonts w:ascii="宋体" w:hAnsi="宋体" w:eastAsia="宋体"/>
          <w:color w:val="auto"/>
          <w:kern w:val="0"/>
          <w:sz w:val="24"/>
          <w:szCs w:val="24"/>
        </w:rPr>
      </w:pPr>
      <w:r>
        <w:rPr>
          <w:rFonts w:ascii="宋体" w:hAnsi="宋体" w:eastAsia="宋体" w:cs="宋体"/>
          <w:color w:val="auto"/>
          <w:kern w:val="0"/>
          <w:sz w:val="24"/>
          <w:szCs w:val="24"/>
        </w:rPr>
        <w:t>2.</w:t>
      </w:r>
      <w:r>
        <w:rPr>
          <w:rFonts w:hint="eastAsia" w:ascii="宋体" w:hAnsi="宋体" w:eastAsia="宋体" w:cs="宋体"/>
          <w:color w:val="auto"/>
          <w:kern w:val="0"/>
          <w:sz w:val="24"/>
          <w:szCs w:val="24"/>
        </w:rPr>
        <w:t>质疑不成立的处理：</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）质疑人书面《申请撤回质疑函》。</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2</w:t>
      </w:r>
      <w:r>
        <w:rPr>
          <w:rFonts w:hint="eastAsia" w:ascii="宋体" w:hAnsi="宋体" w:eastAsia="宋体" w:cs="宋体"/>
          <w:color w:val="auto"/>
          <w:kern w:val="0"/>
          <w:sz w:val="24"/>
          <w:szCs w:val="24"/>
        </w:rPr>
        <w:t>）质疑人在规定的时间内不配合进行质疑调查处理的，按自动撤回《质疑函》处理。</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质疑人不能提供相关佐证材料的，招标采购人已指出，质疑人仍然坚持提出质疑的，质疑人虽提供了相关佐证材料，但不能证明其质疑成立的，招标采购人请质疑人补充相关佐证材料，仍不能证明其质疑成立的，建议相关监管部门将其列入失信名单。</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4</w:t>
      </w:r>
      <w:r>
        <w:rPr>
          <w:rFonts w:hint="eastAsia" w:ascii="宋体" w:hAnsi="宋体" w:eastAsia="宋体" w:cs="宋体"/>
          <w:color w:val="auto"/>
          <w:kern w:val="0"/>
          <w:sz w:val="24"/>
          <w:szCs w:val="24"/>
        </w:rPr>
        <w:t>）对明显有违背事实的、经相关专家或评委认定无依据的、经其他供应商举证无依据的质疑，建议监管部门将其列入失信名单；同时，对其中每一项不成立的质疑，建议相关监管部门给予质疑人</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年内禁入政府采购活动的行政处罚，依此类推；视情在省、国家级相关媒体予以披露。</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5</w:t>
      </w:r>
      <w:r>
        <w:rPr>
          <w:rFonts w:hint="eastAsia" w:ascii="宋体" w:hAnsi="宋体" w:eastAsia="宋体" w:cs="宋体"/>
          <w:color w:val="auto"/>
          <w:kern w:val="0"/>
          <w:sz w:val="24"/>
          <w:szCs w:val="24"/>
        </w:rPr>
        <w:t>）质疑人承担使用虚假材料或恶意方式质疑的法律责任。</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四、无佐证材料的举报的处理</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供应商不得进行不提供相关佐证材料（含无法查实的如宣传册、媒体报道、猜测、推理等）而向有关部门的举报，否则建议相关监管部门对其实施在</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至</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年内禁入政府采购市场活动的行政处罚。</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五、投诉的提出</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质疑人对采购人的答复不满意或者招标采购人未在规定的时间内做出答复的，可以在答复期满后</w:t>
      </w:r>
      <w:r>
        <w:rPr>
          <w:rFonts w:ascii="宋体" w:hAnsi="宋体" w:eastAsia="宋体" w:cs="宋体"/>
          <w:color w:val="auto"/>
          <w:kern w:val="0"/>
          <w:sz w:val="24"/>
          <w:szCs w:val="24"/>
        </w:rPr>
        <w:t>15</w:t>
      </w:r>
      <w:r>
        <w:rPr>
          <w:rFonts w:hint="eastAsia" w:ascii="宋体" w:hAnsi="宋体" w:eastAsia="宋体" w:cs="宋体"/>
          <w:color w:val="auto"/>
          <w:kern w:val="0"/>
          <w:sz w:val="24"/>
          <w:szCs w:val="24"/>
        </w:rPr>
        <w:t>个工作日内向采购人单位的上级主管部门投诉。</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六、投诉不成立的处理</w:t>
      </w:r>
    </w:p>
    <w:p>
      <w:pPr>
        <w:snapToGrid w:val="0"/>
        <w:spacing w:line="420" w:lineRule="exact"/>
        <w:ind w:firstLine="480" w:firstLineChars="200"/>
        <w:rPr>
          <w:rFonts w:ascii="宋体" w:hAnsi="宋体" w:eastAsia="宋体"/>
          <w:color w:val="auto"/>
          <w:kern w:val="0"/>
          <w:sz w:val="24"/>
          <w:szCs w:val="24"/>
        </w:rPr>
      </w:pPr>
      <w:r>
        <w:rPr>
          <w:rFonts w:hint="eastAsia" w:ascii="宋体" w:hAnsi="宋体" w:eastAsia="宋体" w:cs="宋体"/>
          <w:color w:val="auto"/>
          <w:kern w:val="0"/>
          <w:sz w:val="24"/>
          <w:szCs w:val="24"/>
        </w:rPr>
        <w:t>供应商进行质疑后，招标采购人回复质疑不成立，质疑人仍进行投诉的，并最终投诉不成立的，上报并建议相关监管部门对其实施在</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至</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年内禁入政府采购活动市场的行政处罚，同时列入失信名单。</w:t>
      </w:r>
    </w:p>
    <w:p>
      <w:pPr>
        <w:snapToGrid w:val="0"/>
        <w:spacing w:line="420" w:lineRule="exact"/>
        <w:ind w:firstLine="482" w:firstLineChars="200"/>
        <w:outlineLvl w:val="1"/>
        <w:rPr>
          <w:rFonts w:ascii="宋体" w:hAnsi="宋体" w:eastAsia="宋体"/>
          <w:b/>
          <w:bCs/>
          <w:color w:val="auto"/>
          <w:sz w:val="24"/>
          <w:szCs w:val="24"/>
        </w:rPr>
      </w:pPr>
      <w:r>
        <w:rPr>
          <w:rFonts w:hint="eastAsia" w:ascii="宋体" w:hAnsi="宋体" w:eastAsia="宋体" w:cs="宋体"/>
          <w:b/>
          <w:bCs/>
          <w:color w:val="auto"/>
          <w:sz w:val="24"/>
          <w:szCs w:val="24"/>
        </w:rPr>
        <w:t>七、质疑、举报、投诉不成立的等相关情况</w:t>
      </w:r>
    </w:p>
    <w:p>
      <w:pPr>
        <w:snapToGrid w:val="0"/>
        <w:spacing w:line="420" w:lineRule="exact"/>
        <w:ind w:firstLine="480" w:firstLineChars="200"/>
        <w:rPr>
          <w:rFonts w:eastAsia="仿宋_GB2312"/>
          <w:color w:val="auto"/>
          <w:kern w:val="0"/>
          <w:sz w:val="24"/>
          <w:szCs w:val="24"/>
        </w:rPr>
      </w:pPr>
      <w:r>
        <w:rPr>
          <w:rFonts w:hint="eastAsia" w:ascii="宋体" w:hAnsi="宋体" w:eastAsia="宋体" w:cs="宋体"/>
          <w:color w:val="auto"/>
          <w:kern w:val="0"/>
          <w:sz w:val="24"/>
          <w:szCs w:val="24"/>
        </w:rPr>
        <w:t>《质疑函》、《质疑回复函》，质疑、举报、投诉不成立的等相关情况，视情在政府采购网、省、国家级等相关媒体予以披露。并建议政府采购相关监管部门对该供应商实施</w:t>
      </w:r>
      <w:r>
        <w:rPr>
          <w:rFonts w:ascii="宋体" w:hAnsi="宋体" w:eastAsia="宋体" w:cs="宋体"/>
          <w:color w:val="auto"/>
          <w:kern w:val="0"/>
          <w:sz w:val="24"/>
          <w:szCs w:val="24"/>
        </w:rPr>
        <w:t>3</w:t>
      </w:r>
      <w:r>
        <w:rPr>
          <w:rFonts w:hint="eastAsia" w:ascii="宋体" w:hAnsi="宋体" w:eastAsia="宋体" w:cs="宋体"/>
          <w:color w:val="auto"/>
          <w:kern w:val="0"/>
          <w:sz w:val="24"/>
          <w:szCs w:val="24"/>
        </w:rPr>
        <w:t>年内禁入政府采购活动市场的行政处罚，同时列入失信名单</w:t>
      </w:r>
      <w:r>
        <w:rPr>
          <w:rFonts w:hint="eastAsia" w:eastAsia="仿宋_GB2312" w:cs="仿宋_GB2312"/>
          <w:color w:val="auto"/>
          <w:kern w:val="0"/>
          <w:sz w:val="24"/>
          <w:szCs w:val="24"/>
        </w:rPr>
        <w:t>。</w:t>
      </w:r>
    </w:p>
    <w:p>
      <w:pPr>
        <w:snapToGrid w:val="0"/>
        <w:spacing w:line="420" w:lineRule="exact"/>
        <w:ind w:firstLine="480" w:firstLineChars="200"/>
        <w:rPr>
          <w:rFonts w:eastAsia="仿宋_GB2312"/>
          <w:color w:val="auto"/>
          <w:kern w:val="0"/>
          <w:sz w:val="24"/>
          <w:szCs w:val="24"/>
        </w:rPr>
      </w:pPr>
    </w:p>
    <w:p>
      <w:pPr>
        <w:snapToGrid w:val="0"/>
        <w:spacing w:line="420" w:lineRule="exact"/>
        <w:ind w:firstLine="480" w:firstLineChars="200"/>
        <w:rPr>
          <w:rFonts w:eastAsia="仿宋_GB2312"/>
          <w:color w:val="auto"/>
          <w:kern w:val="0"/>
          <w:sz w:val="24"/>
          <w:szCs w:val="24"/>
        </w:rPr>
      </w:pPr>
    </w:p>
    <w:p>
      <w:pPr>
        <w:snapToGrid w:val="0"/>
        <w:spacing w:line="420" w:lineRule="exact"/>
        <w:rPr>
          <w:rFonts w:eastAsia="仿宋_GB2312"/>
          <w:color w:val="auto"/>
          <w:kern w:val="0"/>
          <w:sz w:val="24"/>
          <w:szCs w:val="24"/>
        </w:rPr>
      </w:pPr>
    </w:p>
    <w:p>
      <w:pPr>
        <w:tabs>
          <w:tab w:val="left" w:pos="1050"/>
          <w:tab w:val="right" w:leader="dot" w:pos="9402"/>
        </w:tabs>
        <w:spacing w:beforeLines="100" w:line="600" w:lineRule="exact"/>
        <w:jc w:val="center"/>
        <w:outlineLvl w:val="0"/>
        <w:rPr>
          <w:rFonts w:ascii="宋体" w:hAnsi="宋体" w:eastAsia="宋体"/>
          <w:b/>
          <w:bCs/>
          <w:color w:val="auto"/>
          <w:w w:val="80"/>
          <w:sz w:val="36"/>
          <w:szCs w:val="36"/>
        </w:rPr>
      </w:pPr>
      <w:bookmarkStart w:id="11" w:name="_Toc363573860"/>
      <w:r>
        <w:rPr>
          <w:rFonts w:hint="eastAsia" w:ascii="宋体" w:hAnsi="宋体" w:eastAsia="宋体" w:cs="宋体"/>
          <w:b/>
          <w:bCs/>
          <w:color w:val="auto"/>
          <w:w w:val="80"/>
          <w:sz w:val="36"/>
          <w:szCs w:val="36"/>
        </w:rPr>
        <w:t>第八章</w:t>
      </w:r>
      <w:bookmarkEnd w:id="11"/>
      <w:r>
        <w:rPr>
          <w:rFonts w:hint="eastAsia" w:ascii="宋体" w:hAnsi="宋体" w:eastAsia="宋体" w:cs="宋体"/>
          <w:b/>
          <w:bCs/>
          <w:color w:val="auto"/>
          <w:w w:val="80"/>
          <w:sz w:val="36"/>
          <w:szCs w:val="36"/>
        </w:rPr>
        <w:t>磋商响应文件的组成及格式</w:t>
      </w:r>
    </w:p>
    <w:p>
      <w:pPr>
        <w:adjustRightInd w:val="0"/>
        <w:snapToGrid w:val="0"/>
        <w:spacing w:line="420" w:lineRule="exact"/>
        <w:ind w:firstLine="487" w:firstLineChars="202"/>
        <w:jc w:val="left"/>
        <w:outlineLvl w:val="1"/>
        <w:rPr>
          <w:rFonts w:ascii="宋体" w:hAnsi="宋体" w:eastAsia="宋体"/>
          <w:b/>
          <w:bCs/>
          <w:color w:val="auto"/>
          <w:sz w:val="24"/>
          <w:szCs w:val="24"/>
        </w:rPr>
      </w:pPr>
      <w:r>
        <w:rPr>
          <w:rFonts w:hint="eastAsia" w:ascii="宋体" w:hAnsi="宋体" w:eastAsia="宋体" w:cs="宋体"/>
          <w:b/>
          <w:bCs/>
          <w:color w:val="auto"/>
          <w:sz w:val="24"/>
          <w:szCs w:val="24"/>
        </w:rPr>
        <w:t>一、磋商响应文件</w:t>
      </w:r>
    </w:p>
    <w:p>
      <w:pPr>
        <w:adjustRightInd w:val="0"/>
        <w:snapToGrid w:val="0"/>
        <w:spacing w:line="420" w:lineRule="exact"/>
        <w:ind w:firstLine="484" w:firstLineChars="202"/>
        <w:jc w:val="left"/>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资格后审材料文件（一个密封包，内含：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adjustRightInd w:val="0"/>
        <w:snapToGrid w:val="0"/>
        <w:spacing w:line="420" w:lineRule="exact"/>
        <w:ind w:firstLine="484" w:firstLineChars="202"/>
        <w:jc w:val="left"/>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技术标文件（一个密封包，内含：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adjustRightInd w:val="0"/>
        <w:snapToGrid w:val="0"/>
        <w:spacing w:line="420" w:lineRule="exact"/>
        <w:ind w:firstLine="484" w:firstLineChars="202"/>
        <w:jc w:val="left"/>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价格标文件（一个密封包，内含：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adjustRightInd w:val="0"/>
        <w:snapToGrid w:val="0"/>
        <w:spacing w:line="420" w:lineRule="exact"/>
        <w:ind w:firstLine="487" w:firstLineChars="202"/>
        <w:jc w:val="left"/>
        <w:outlineLvl w:val="1"/>
        <w:rPr>
          <w:rFonts w:ascii="宋体" w:hAnsi="宋体" w:eastAsia="宋体"/>
          <w:b/>
          <w:bCs/>
          <w:color w:val="auto"/>
          <w:sz w:val="24"/>
          <w:szCs w:val="24"/>
        </w:rPr>
      </w:pPr>
      <w:r>
        <w:rPr>
          <w:rFonts w:hint="eastAsia" w:ascii="宋体" w:hAnsi="宋体" w:eastAsia="宋体" w:cs="宋体"/>
          <w:b/>
          <w:bCs/>
          <w:color w:val="auto"/>
          <w:sz w:val="24"/>
          <w:szCs w:val="24"/>
        </w:rPr>
        <w:t>二、磋商响应文件封面范例</w:t>
      </w:r>
    </w:p>
    <w:p>
      <w:pPr>
        <w:spacing w:beforeLines="100" w:afterLines="100" w:line="600" w:lineRule="exact"/>
        <w:jc w:val="center"/>
        <w:rPr>
          <w:rFonts w:ascii="宋体" w:hAnsi="宋体" w:eastAsia="宋体"/>
          <w:color w:val="auto"/>
          <w:w w:val="80"/>
          <w:kern w:val="44"/>
          <w:sz w:val="36"/>
          <w:szCs w:val="36"/>
        </w:rPr>
      </w:pPr>
    </w:p>
    <w:p>
      <w:pPr>
        <w:spacing w:line="800" w:lineRule="exact"/>
        <w:jc w:val="center"/>
        <w:rPr>
          <w:rFonts w:ascii="宋体" w:hAnsi="宋体" w:eastAsia="宋体" w:cs="宋体"/>
          <w:color w:val="auto"/>
          <w:w w:val="80"/>
          <w:kern w:val="44"/>
          <w:sz w:val="36"/>
          <w:szCs w:val="36"/>
        </w:rPr>
      </w:pPr>
      <w:r>
        <w:rPr>
          <w:rFonts w:hint="eastAsia" w:ascii="宋体" w:hAnsi="宋体" w:eastAsia="宋体" w:cs="宋体"/>
          <w:color w:val="auto"/>
          <w:w w:val="80"/>
          <w:kern w:val="44"/>
          <w:sz w:val="36"/>
          <w:szCs w:val="36"/>
        </w:rPr>
        <w:t>南通市老干部活动中心党性教育陈列展示馆设计施工项目</w:t>
      </w:r>
    </w:p>
    <w:p>
      <w:pPr>
        <w:spacing w:line="800" w:lineRule="exact"/>
        <w:jc w:val="center"/>
        <w:rPr>
          <w:rFonts w:ascii="宋体" w:hAnsi="宋体" w:eastAsia="宋体"/>
          <w:color w:val="auto"/>
          <w:sz w:val="36"/>
          <w:szCs w:val="36"/>
        </w:rPr>
      </w:pPr>
      <w:r>
        <w:rPr>
          <w:rFonts w:hint="eastAsia" w:ascii="宋体" w:hAnsi="宋体" w:eastAsia="宋体" w:cs="宋体"/>
          <w:color w:val="auto"/>
          <w:sz w:val="36"/>
          <w:szCs w:val="36"/>
        </w:rPr>
        <w:t>竞争性磋商响应文件</w:t>
      </w:r>
    </w:p>
    <w:p>
      <w:pPr>
        <w:spacing w:line="360" w:lineRule="exact"/>
        <w:ind w:firstLine="1920" w:firstLineChars="800"/>
        <w:rPr>
          <w:rFonts w:ascii="宋体" w:hAnsi="宋体" w:eastAsia="宋体"/>
          <w:color w:val="auto"/>
          <w:sz w:val="24"/>
          <w:szCs w:val="24"/>
        </w:rPr>
      </w:pPr>
      <w:r>
        <w:rPr>
          <w:rFonts w:hint="eastAsia" w:ascii="宋体" w:hAnsi="宋体" w:eastAsia="宋体" w:cs="宋体"/>
          <w:color w:val="auto"/>
          <w:sz w:val="24"/>
          <w:szCs w:val="24"/>
        </w:rPr>
        <w:t>对应磋商响应文件，相应填写：资格后审材料文件</w:t>
      </w:r>
    </w:p>
    <w:p>
      <w:pPr>
        <w:spacing w:line="360" w:lineRule="exact"/>
        <w:ind w:firstLine="5438" w:firstLineChars="2266"/>
        <w:jc w:val="left"/>
        <w:rPr>
          <w:rFonts w:ascii="宋体" w:hAnsi="宋体" w:eastAsia="宋体"/>
          <w:color w:val="auto"/>
          <w:sz w:val="24"/>
          <w:szCs w:val="24"/>
        </w:rPr>
      </w:pPr>
      <w:r>
        <w:rPr>
          <w:rFonts w:hint="eastAsia" w:ascii="宋体" w:hAnsi="宋体" w:eastAsia="宋体" w:cs="宋体"/>
          <w:color w:val="auto"/>
          <w:sz w:val="24"/>
          <w:szCs w:val="24"/>
        </w:rPr>
        <w:t>技术标文件</w:t>
      </w:r>
    </w:p>
    <w:p>
      <w:pPr>
        <w:spacing w:line="360" w:lineRule="exact"/>
        <w:ind w:firstLine="5438" w:firstLineChars="2266"/>
        <w:jc w:val="left"/>
        <w:rPr>
          <w:rFonts w:ascii="宋体" w:hAnsi="宋体" w:eastAsia="宋体"/>
          <w:color w:val="auto"/>
          <w:sz w:val="24"/>
          <w:szCs w:val="24"/>
        </w:rPr>
      </w:pPr>
      <w:r>
        <w:rPr>
          <w:rFonts w:hint="eastAsia" w:ascii="宋体" w:hAnsi="宋体" w:eastAsia="宋体" w:cs="宋体"/>
          <w:color w:val="auto"/>
          <w:sz w:val="24"/>
          <w:szCs w:val="24"/>
        </w:rPr>
        <w:t>价格标文件</w:t>
      </w:r>
    </w:p>
    <w:p>
      <w:pPr>
        <w:spacing w:line="360" w:lineRule="exact"/>
        <w:jc w:val="center"/>
        <w:rPr>
          <w:rFonts w:ascii="宋体" w:hAnsi="宋体" w:eastAsia="宋体"/>
          <w:color w:val="auto"/>
          <w:sz w:val="24"/>
          <w:szCs w:val="24"/>
        </w:rPr>
      </w:pPr>
    </w:p>
    <w:p>
      <w:pPr>
        <w:spacing w:line="360" w:lineRule="exact"/>
        <w:jc w:val="center"/>
        <w:rPr>
          <w:rFonts w:ascii="宋体" w:hAnsi="宋体" w:eastAsia="宋体"/>
          <w:color w:val="auto"/>
          <w:sz w:val="24"/>
          <w:szCs w:val="24"/>
        </w:rPr>
      </w:pPr>
      <w:r>
        <w:rPr>
          <w:rFonts w:hint="eastAsia" w:ascii="宋体" w:hAnsi="宋体" w:eastAsia="宋体" w:cs="宋体"/>
          <w:color w:val="auto"/>
          <w:sz w:val="24"/>
          <w:szCs w:val="24"/>
        </w:rPr>
        <w:t>（资格后审）</w:t>
      </w:r>
    </w:p>
    <w:p>
      <w:pPr>
        <w:adjustRightInd w:val="0"/>
        <w:snapToGrid w:val="0"/>
        <w:spacing w:line="420" w:lineRule="exact"/>
        <w:jc w:val="center"/>
        <w:rPr>
          <w:rFonts w:ascii="宋体" w:hAnsi="宋体" w:eastAsia="宋体"/>
          <w:color w:val="auto"/>
          <w:sz w:val="24"/>
          <w:szCs w:val="24"/>
        </w:rPr>
      </w:pPr>
    </w:p>
    <w:p>
      <w:pPr>
        <w:adjustRightInd w:val="0"/>
        <w:snapToGrid w:val="0"/>
        <w:spacing w:line="420" w:lineRule="exact"/>
        <w:jc w:val="center"/>
        <w:rPr>
          <w:rFonts w:ascii="宋体" w:hAnsi="宋体" w:eastAsia="宋体"/>
          <w:color w:val="auto"/>
          <w:sz w:val="24"/>
          <w:szCs w:val="24"/>
        </w:rPr>
      </w:pPr>
    </w:p>
    <w:p>
      <w:pPr>
        <w:adjustRightInd w:val="0"/>
        <w:snapToGrid w:val="0"/>
        <w:spacing w:line="420" w:lineRule="exact"/>
        <w:rPr>
          <w:rFonts w:ascii="宋体" w:hAnsi="宋体" w:eastAsia="宋体"/>
          <w:color w:val="auto"/>
          <w:sz w:val="24"/>
          <w:szCs w:val="24"/>
        </w:rPr>
      </w:pPr>
    </w:p>
    <w:p>
      <w:pPr>
        <w:adjustRightInd w:val="0"/>
        <w:snapToGrid w:val="0"/>
        <w:spacing w:line="420" w:lineRule="exact"/>
        <w:jc w:val="center"/>
        <w:rPr>
          <w:rFonts w:ascii="宋体" w:hAnsi="宋体" w:eastAsia="宋体"/>
          <w:color w:val="auto"/>
          <w:sz w:val="24"/>
          <w:szCs w:val="24"/>
        </w:rPr>
      </w:pPr>
    </w:p>
    <w:p>
      <w:pPr>
        <w:adjustRightInd w:val="0"/>
        <w:snapToGrid w:val="0"/>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供应商：参加磋商响应单位全称</w:t>
      </w:r>
    </w:p>
    <w:p>
      <w:pPr>
        <w:snapToGrid w:val="0"/>
        <w:spacing w:line="420" w:lineRule="exact"/>
        <w:jc w:val="center"/>
        <w:rPr>
          <w:rFonts w:ascii="仿宋_GB2312" w:hAnsi="宋体" w:eastAsia="仿宋_GB2312"/>
          <w:b/>
          <w:bCs/>
          <w:color w:val="auto"/>
          <w:sz w:val="24"/>
          <w:szCs w:val="24"/>
        </w:rPr>
      </w:pPr>
      <w:r>
        <w:rPr>
          <w:rFonts w:hint="eastAsia" w:ascii="宋体" w:hAnsi="宋体" w:eastAsia="宋体" w:cs="宋体"/>
          <w:color w:val="auto"/>
          <w:sz w:val="24"/>
          <w:szCs w:val="24"/>
        </w:rPr>
        <w:t>二○二一年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p>
    <w:p>
      <w:pPr>
        <w:adjustRightInd w:val="0"/>
        <w:snapToGrid w:val="0"/>
        <w:spacing w:line="420" w:lineRule="exact"/>
        <w:ind w:firstLine="487" w:firstLineChars="202"/>
        <w:jc w:val="left"/>
        <w:outlineLvl w:val="1"/>
        <w:rPr>
          <w:rFonts w:ascii="仿宋_GB2312" w:hAnsi="宋体" w:eastAsia="仿宋_GB2312"/>
          <w:b/>
          <w:bCs/>
          <w:color w:val="auto"/>
          <w:sz w:val="24"/>
          <w:szCs w:val="24"/>
        </w:rPr>
      </w:pPr>
    </w:p>
    <w:p>
      <w:pPr>
        <w:adjustRightInd w:val="0"/>
        <w:snapToGrid w:val="0"/>
        <w:spacing w:line="420" w:lineRule="exact"/>
        <w:ind w:firstLine="487" w:firstLineChars="202"/>
        <w:jc w:val="left"/>
        <w:outlineLvl w:val="1"/>
        <w:rPr>
          <w:rFonts w:ascii="仿宋_GB2312" w:hAnsi="宋体" w:eastAsia="仿宋_GB2312"/>
          <w:b/>
          <w:bCs/>
          <w:color w:val="auto"/>
          <w:sz w:val="24"/>
          <w:szCs w:val="24"/>
        </w:rPr>
      </w:pPr>
    </w:p>
    <w:p>
      <w:pPr>
        <w:adjustRightInd w:val="0"/>
        <w:snapToGrid w:val="0"/>
        <w:spacing w:line="420" w:lineRule="exact"/>
        <w:jc w:val="left"/>
        <w:outlineLvl w:val="1"/>
        <w:rPr>
          <w:rFonts w:ascii="仿宋_GB2312" w:hAnsi="宋体" w:eastAsia="仿宋_GB2312"/>
          <w:b/>
          <w:bCs/>
          <w:color w:val="auto"/>
          <w:sz w:val="24"/>
          <w:szCs w:val="24"/>
        </w:rPr>
      </w:pPr>
    </w:p>
    <w:p>
      <w:pPr>
        <w:adjustRightInd w:val="0"/>
        <w:snapToGrid w:val="0"/>
        <w:spacing w:line="420" w:lineRule="exact"/>
        <w:ind w:firstLine="487" w:firstLineChars="202"/>
        <w:jc w:val="left"/>
        <w:outlineLvl w:val="1"/>
        <w:rPr>
          <w:rFonts w:ascii="宋体" w:hAnsi="宋体" w:eastAsia="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三、磋商响应文件</w:t>
      </w:r>
    </w:p>
    <w:p>
      <w:pPr>
        <w:adjustRightInd w:val="0"/>
        <w:snapToGrid w:val="0"/>
        <w:spacing w:line="420" w:lineRule="exact"/>
        <w:ind w:firstLine="566" w:firstLineChars="235"/>
        <w:outlineLvl w:val="2"/>
        <w:rPr>
          <w:rFonts w:ascii="宋体" w:hAnsi="宋体" w:eastAsia="宋体"/>
          <w:b/>
          <w:bCs/>
          <w:color w:val="auto"/>
          <w:sz w:val="24"/>
          <w:szCs w:val="24"/>
        </w:rPr>
      </w:pPr>
      <w:r>
        <w:rPr>
          <w:rFonts w:ascii="宋体" w:hAnsi="宋体" w:eastAsia="宋体" w:cs="宋体"/>
          <w:b/>
          <w:bCs/>
          <w:color w:val="auto"/>
          <w:sz w:val="24"/>
          <w:szCs w:val="24"/>
        </w:rPr>
        <w:t>A</w:t>
      </w:r>
      <w:r>
        <w:rPr>
          <w:rFonts w:hint="eastAsia" w:ascii="宋体" w:hAnsi="宋体" w:eastAsia="宋体" w:cs="宋体"/>
          <w:b/>
          <w:bCs/>
          <w:color w:val="auto"/>
          <w:sz w:val="24"/>
          <w:szCs w:val="24"/>
        </w:rPr>
        <w:t>、资格后审材料文件</w:t>
      </w:r>
      <w:r>
        <w:rPr>
          <w:rFonts w:hint="eastAsia" w:ascii="宋体" w:hAnsi="宋体" w:eastAsia="宋体" w:cs="宋体"/>
          <w:color w:val="auto"/>
          <w:sz w:val="24"/>
          <w:szCs w:val="24"/>
        </w:rPr>
        <w:t>（一个密封包，内含：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adjustRightInd w:val="0"/>
        <w:snapToGrid w:val="0"/>
        <w:spacing w:line="420" w:lineRule="exact"/>
        <w:ind w:firstLine="564" w:firstLineChars="235"/>
        <w:jc w:val="left"/>
        <w:outlineLvl w:val="3"/>
        <w:rPr>
          <w:rFonts w:ascii="宋体" w:hAnsi="宋体" w:eastAsia="宋体"/>
          <w:color w:val="auto"/>
          <w:sz w:val="24"/>
          <w:szCs w:val="24"/>
        </w:rPr>
      </w:pPr>
      <w:r>
        <w:rPr>
          <w:rFonts w:ascii="宋体" w:hAnsi="宋体" w:eastAsia="宋体" w:cs="宋体"/>
          <w:color w:val="auto"/>
          <w:sz w:val="24"/>
          <w:szCs w:val="24"/>
        </w:rPr>
        <w:t>A.1</w:t>
      </w:r>
      <w:r>
        <w:rPr>
          <w:rFonts w:hint="eastAsia" w:ascii="宋体" w:hAnsi="宋体" w:eastAsia="宋体" w:cs="宋体"/>
          <w:color w:val="auto"/>
          <w:sz w:val="24"/>
          <w:szCs w:val="24"/>
        </w:rPr>
        <w:t>、目录</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3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70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kern w:val="0"/>
                <w:sz w:val="24"/>
                <w:szCs w:val="24"/>
              </w:rPr>
              <w:t>序号</w:t>
            </w:r>
          </w:p>
        </w:tc>
        <w:tc>
          <w:tcPr>
            <w:tcW w:w="7371"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kern w:val="0"/>
                <w:sz w:val="24"/>
                <w:szCs w:val="24"/>
              </w:rPr>
              <w:t>资格后审资料提供清单表</w:t>
            </w:r>
          </w:p>
        </w:tc>
        <w:tc>
          <w:tcPr>
            <w:tcW w:w="1559" w:type="dxa"/>
            <w:vAlign w:val="center"/>
          </w:tcPr>
          <w:p>
            <w:pPr>
              <w:spacing w:line="420" w:lineRule="exact"/>
              <w:jc w:val="center"/>
              <w:rPr>
                <w:rFonts w:ascii="宋体" w:hAnsi="宋体" w:eastAsia="宋体"/>
                <w:color w:val="auto"/>
                <w:sz w:val="24"/>
                <w:szCs w:val="24"/>
              </w:rPr>
            </w:pPr>
            <w:r>
              <w:rPr>
                <w:rFonts w:hint="eastAsia" w:ascii="宋体" w:hAnsi="宋体" w:eastAsia="宋体" w:cs="宋体"/>
                <w:color w:val="auto"/>
                <w:kern w:val="0"/>
                <w:sz w:val="24"/>
                <w:szCs w:val="24"/>
              </w:rPr>
              <w:t>是否提供（√）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709" w:type="dxa"/>
            <w:vAlign w:val="center"/>
          </w:tcPr>
          <w:p>
            <w:pPr>
              <w:spacing w:line="420" w:lineRule="exact"/>
              <w:jc w:val="center"/>
              <w:rPr>
                <w:rFonts w:ascii="宋体" w:hAnsi="宋体" w:eastAsia="宋体"/>
                <w:color w:val="auto"/>
                <w:sz w:val="24"/>
                <w:szCs w:val="24"/>
              </w:rPr>
            </w:pPr>
            <w:r>
              <w:rPr>
                <w:rFonts w:ascii="宋体" w:hAnsi="宋体" w:eastAsia="宋体" w:cs="宋体"/>
                <w:color w:val="auto"/>
                <w:kern w:val="0"/>
                <w:sz w:val="24"/>
                <w:szCs w:val="24"/>
              </w:rPr>
              <w:t>1</w:t>
            </w:r>
          </w:p>
        </w:tc>
        <w:tc>
          <w:tcPr>
            <w:tcW w:w="7371" w:type="dxa"/>
            <w:vAlign w:val="center"/>
          </w:tcPr>
          <w:p>
            <w:pPr>
              <w:spacing w:line="420" w:lineRule="exact"/>
              <w:rPr>
                <w:rFonts w:ascii="宋体" w:hAnsi="宋体" w:eastAsia="宋体"/>
                <w:color w:val="auto"/>
                <w:kern w:val="0"/>
                <w:sz w:val="24"/>
                <w:szCs w:val="24"/>
              </w:rPr>
            </w:pPr>
            <w:r>
              <w:rPr>
                <w:rFonts w:hint="eastAsia" w:ascii="宋体" w:hAnsi="宋体" w:eastAsia="宋体" w:cs="宋体"/>
                <w:color w:val="auto"/>
                <w:sz w:val="24"/>
                <w:szCs w:val="24"/>
              </w:rPr>
              <w:t>提供磋商响应供应商的《营业执照》原件的复印件，经营范围须包含</w:t>
            </w:r>
            <w:r>
              <w:rPr>
                <w:rFonts w:hint="eastAsia" w:ascii="宋体" w:hAnsi="宋体" w:eastAsia="宋体" w:cs="宋体"/>
                <w:color w:val="auto"/>
                <w:sz w:val="24"/>
                <w:szCs w:val="24"/>
                <w:lang w:eastAsia="zh-CN"/>
              </w:rPr>
              <w:t>展览展示</w:t>
            </w:r>
            <w:r>
              <w:rPr>
                <w:rFonts w:hint="eastAsia" w:ascii="宋体" w:hAnsi="宋体" w:eastAsia="宋体" w:cs="宋体"/>
                <w:color w:val="auto"/>
                <w:sz w:val="24"/>
                <w:szCs w:val="24"/>
              </w:rPr>
              <w:t>设计</w:t>
            </w:r>
            <w:r>
              <w:rPr>
                <w:rFonts w:hint="eastAsia" w:ascii="宋体" w:hAnsi="宋体" w:eastAsia="宋体" w:cs="宋体"/>
                <w:color w:val="auto"/>
                <w:sz w:val="24"/>
                <w:szCs w:val="24"/>
                <w:lang w:eastAsia="zh-CN"/>
              </w:rPr>
              <w:t>、施工</w:t>
            </w:r>
            <w:r>
              <w:rPr>
                <w:rFonts w:hint="eastAsia" w:ascii="宋体" w:hAnsi="宋体" w:eastAsia="宋体" w:cs="宋体"/>
                <w:color w:val="auto"/>
                <w:sz w:val="24"/>
                <w:szCs w:val="24"/>
              </w:rPr>
              <w:t>安装（须加盖公章）。</w:t>
            </w:r>
          </w:p>
        </w:tc>
        <w:tc>
          <w:tcPr>
            <w:tcW w:w="1559" w:type="dxa"/>
            <w:vAlign w:val="center"/>
          </w:tcPr>
          <w:p>
            <w:pPr>
              <w:spacing w:line="42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709" w:type="dxa"/>
            <w:vAlign w:val="center"/>
          </w:tcPr>
          <w:p>
            <w:pPr>
              <w:spacing w:line="420" w:lineRule="exact"/>
              <w:jc w:val="center"/>
              <w:rPr>
                <w:rFonts w:ascii="宋体" w:hAnsi="宋体" w:eastAsia="宋体"/>
                <w:color w:val="auto"/>
                <w:sz w:val="24"/>
                <w:szCs w:val="24"/>
              </w:rPr>
            </w:pPr>
            <w:r>
              <w:rPr>
                <w:rFonts w:ascii="宋体" w:hAnsi="宋体" w:eastAsia="宋体" w:cs="宋体"/>
                <w:color w:val="auto"/>
                <w:kern w:val="0"/>
                <w:sz w:val="24"/>
                <w:szCs w:val="24"/>
              </w:rPr>
              <w:t>2</w:t>
            </w:r>
          </w:p>
        </w:tc>
        <w:tc>
          <w:tcPr>
            <w:tcW w:w="7371"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法定代表人参加磋商的，必须提供本人身份证原件的复印件（须加盖公章）；非法定代表人参加的，必须提供法定代表人签名或盖章的授权委托书、委托代理人身份证及磋商响应供应商为其缴纳的</w:t>
            </w:r>
            <w:r>
              <w:rPr>
                <w:rFonts w:ascii="宋体" w:hAnsi="宋体" w:eastAsia="宋体" w:cs="宋体"/>
                <w:color w:val="auto"/>
                <w:sz w:val="24"/>
                <w:szCs w:val="24"/>
              </w:rPr>
              <w:t>202</w:t>
            </w:r>
            <w:r>
              <w:rPr>
                <w:rFonts w:hint="eastAsia" w:ascii="宋体" w:hAnsi="宋体" w:eastAsia="宋体" w:cs="宋体"/>
                <w:color w:val="auto"/>
                <w:sz w:val="24"/>
                <w:szCs w:val="24"/>
              </w:rPr>
              <w:t>1年</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月</w:t>
            </w:r>
            <w:r>
              <w:rPr>
                <w:rFonts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月的社会保险证明，</w:t>
            </w:r>
            <w:r>
              <w:rPr>
                <w:rFonts w:ascii="宋体" w:hAnsi="宋体" w:eastAsia="宋体" w:cs="宋体"/>
                <w:color w:val="auto"/>
                <w:sz w:val="24"/>
                <w:szCs w:val="24"/>
              </w:rPr>
              <w:t>3</w:t>
            </w:r>
            <w:r>
              <w:rPr>
                <w:rFonts w:hint="eastAsia" w:ascii="宋体" w:hAnsi="宋体" w:eastAsia="宋体" w:cs="宋体"/>
                <w:color w:val="auto"/>
                <w:sz w:val="24"/>
                <w:szCs w:val="24"/>
              </w:rPr>
              <w:t>项材料原件的复印件（须加盖公章）。</w:t>
            </w:r>
          </w:p>
        </w:tc>
        <w:tc>
          <w:tcPr>
            <w:tcW w:w="1559" w:type="dxa"/>
            <w:vAlign w:val="center"/>
          </w:tcPr>
          <w:p>
            <w:pPr>
              <w:spacing w:line="42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09" w:type="dxa"/>
            <w:vAlign w:val="center"/>
          </w:tcPr>
          <w:p>
            <w:pPr>
              <w:spacing w:line="420" w:lineRule="exact"/>
              <w:jc w:val="center"/>
              <w:rPr>
                <w:rFonts w:ascii="宋体" w:hAnsi="宋体" w:eastAsia="宋体" w:cs="宋体"/>
                <w:color w:val="auto"/>
                <w:sz w:val="24"/>
                <w:szCs w:val="24"/>
              </w:rPr>
            </w:pPr>
            <w:r>
              <w:rPr>
                <w:rFonts w:ascii="宋体" w:hAnsi="宋体" w:eastAsia="宋体" w:cs="宋体"/>
                <w:color w:val="auto"/>
                <w:sz w:val="24"/>
                <w:szCs w:val="24"/>
              </w:rPr>
              <w:t>3</w:t>
            </w:r>
          </w:p>
        </w:tc>
        <w:tc>
          <w:tcPr>
            <w:tcW w:w="7371" w:type="dxa"/>
            <w:vAlign w:val="center"/>
          </w:tcPr>
          <w:p>
            <w:pPr>
              <w:spacing w:line="420" w:lineRule="exact"/>
              <w:rPr>
                <w:rFonts w:ascii="宋体" w:hAnsi="宋体" w:eastAsia="宋体"/>
                <w:color w:val="auto"/>
                <w:sz w:val="24"/>
                <w:szCs w:val="24"/>
              </w:rPr>
            </w:pPr>
            <w:r>
              <w:rPr>
                <w:rFonts w:hint="eastAsia" w:ascii="宋体" w:hAnsi="宋体" w:eastAsia="宋体" w:cs="宋体"/>
                <w:color w:val="auto"/>
                <w:sz w:val="24"/>
                <w:szCs w:val="24"/>
              </w:rPr>
              <w:t>磋商响应供应商须提供参与本次项目政府采购活动前三年内在经营活动中没有重大违法记录的书面《无重大违法记录声明函》（须加盖公章）。</w:t>
            </w:r>
          </w:p>
        </w:tc>
        <w:tc>
          <w:tcPr>
            <w:tcW w:w="1559" w:type="dxa"/>
            <w:vAlign w:val="center"/>
          </w:tcPr>
          <w:p>
            <w:pPr>
              <w:spacing w:line="42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09" w:type="dxa"/>
            <w:vAlign w:val="center"/>
          </w:tcPr>
          <w:p>
            <w:pPr>
              <w:spacing w:line="420" w:lineRule="exact"/>
              <w:jc w:val="center"/>
              <w:rPr>
                <w:rFonts w:ascii="宋体" w:hAnsi="宋体" w:eastAsia="宋体" w:cs="宋体"/>
                <w:color w:val="auto"/>
                <w:sz w:val="24"/>
                <w:szCs w:val="24"/>
              </w:rPr>
            </w:pPr>
            <w:r>
              <w:rPr>
                <w:rFonts w:ascii="宋体" w:hAnsi="宋体" w:eastAsia="宋体" w:cs="宋体"/>
                <w:color w:val="auto"/>
                <w:sz w:val="24"/>
                <w:szCs w:val="24"/>
              </w:rPr>
              <w:t>4</w:t>
            </w:r>
          </w:p>
        </w:tc>
        <w:tc>
          <w:tcPr>
            <w:tcW w:w="7371" w:type="dxa"/>
            <w:vAlign w:val="center"/>
          </w:tcPr>
          <w:p>
            <w:pPr>
              <w:spacing w:line="420" w:lineRule="exact"/>
              <w:rPr>
                <w:rFonts w:ascii="宋体" w:hAnsi="宋体" w:eastAsia="宋体"/>
                <w:color w:val="auto"/>
                <w:kern w:val="0"/>
                <w:sz w:val="24"/>
                <w:szCs w:val="24"/>
              </w:rPr>
            </w:pPr>
            <w:r>
              <w:rPr>
                <w:rFonts w:hint="eastAsia" w:ascii="宋体" w:hAnsi="宋体" w:eastAsia="宋体" w:cs="宋体"/>
                <w:color w:val="auto"/>
                <w:sz w:val="24"/>
                <w:szCs w:val="24"/>
              </w:rPr>
              <w:t>磋商响应供应商还须提供谈判文件第八章谈判响应文件格式内“三、</w:t>
            </w:r>
            <w:r>
              <w:rPr>
                <w:rFonts w:ascii="宋体" w:hAnsi="宋体" w:eastAsia="宋体" w:cs="宋体"/>
                <w:color w:val="auto"/>
                <w:sz w:val="24"/>
                <w:szCs w:val="24"/>
              </w:rPr>
              <w:t>A</w:t>
            </w:r>
            <w:r>
              <w:rPr>
                <w:rFonts w:hint="eastAsia" w:ascii="宋体" w:hAnsi="宋体" w:eastAsia="宋体" w:cs="宋体"/>
                <w:color w:val="auto"/>
                <w:sz w:val="24"/>
                <w:szCs w:val="24"/>
              </w:rPr>
              <w:t>、</w:t>
            </w:r>
            <w:r>
              <w:rPr>
                <w:rFonts w:ascii="宋体" w:hAnsi="宋体" w:eastAsia="宋体" w:cs="宋体"/>
                <w:color w:val="auto"/>
                <w:sz w:val="24"/>
                <w:szCs w:val="24"/>
              </w:rPr>
              <w:t>A.2</w:t>
            </w:r>
            <w:r>
              <w:rPr>
                <w:rFonts w:hint="eastAsia" w:ascii="宋体" w:hAnsi="宋体" w:eastAsia="宋体" w:cs="宋体"/>
                <w:color w:val="auto"/>
                <w:sz w:val="24"/>
                <w:szCs w:val="24"/>
              </w:rPr>
              <w:t>、”中的“资格后审材料相关格式文件”内的：关于资格文件的声明函、磋商响应供应商一般情况表。</w:t>
            </w:r>
          </w:p>
        </w:tc>
        <w:tc>
          <w:tcPr>
            <w:tcW w:w="1559" w:type="dxa"/>
            <w:vAlign w:val="center"/>
          </w:tcPr>
          <w:p>
            <w:pPr>
              <w:spacing w:line="420" w:lineRule="exact"/>
              <w:rPr>
                <w:rFonts w:ascii="宋体" w:hAnsi="宋体" w:eastAsia="宋体"/>
                <w:color w:val="auto"/>
                <w:sz w:val="24"/>
                <w:szCs w:val="24"/>
              </w:rPr>
            </w:pPr>
          </w:p>
        </w:tc>
      </w:tr>
    </w:tbl>
    <w:p>
      <w:pPr>
        <w:adjustRightInd w:val="0"/>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供应商：（加盖供应商公章）</w:t>
      </w:r>
    </w:p>
    <w:p>
      <w:pPr>
        <w:adjustRightInd w:val="0"/>
        <w:snapToGrid w:val="0"/>
        <w:spacing w:line="420" w:lineRule="exact"/>
        <w:rPr>
          <w:rFonts w:ascii="宋体" w:hAnsi="宋体" w:eastAsia="宋体" w:cs="宋体"/>
          <w:color w:val="auto"/>
          <w:sz w:val="24"/>
          <w:szCs w:val="24"/>
        </w:rPr>
      </w:pPr>
      <w:r>
        <w:rPr>
          <w:rFonts w:hint="eastAsia" w:ascii="宋体" w:hAnsi="宋体" w:eastAsia="宋体" w:cs="宋体"/>
          <w:color w:val="auto"/>
          <w:sz w:val="24"/>
          <w:szCs w:val="24"/>
        </w:rPr>
        <w:t>法定代表人或委托代理人签字：</w:t>
      </w:r>
    </w:p>
    <w:p>
      <w:pPr>
        <w:adjustRightInd w:val="0"/>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日期：</w:t>
      </w:r>
    </w:p>
    <w:p>
      <w:pPr>
        <w:adjustRightInd w:val="0"/>
        <w:snapToGrid w:val="0"/>
        <w:spacing w:line="420" w:lineRule="exact"/>
        <w:ind w:left="2" w:firstLine="482" w:firstLineChars="201"/>
        <w:rPr>
          <w:rFonts w:ascii="宋体" w:hAnsi="宋体" w:eastAsia="宋体"/>
          <w:color w:val="auto"/>
          <w:sz w:val="24"/>
          <w:szCs w:val="24"/>
        </w:rPr>
      </w:pPr>
      <w:r>
        <w:rPr>
          <w:rFonts w:hint="eastAsia" w:ascii="宋体" w:hAnsi="宋体" w:eastAsia="宋体" w:cs="宋体"/>
          <w:color w:val="auto"/>
          <w:sz w:val="24"/>
          <w:szCs w:val="24"/>
        </w:rPr>
        <w:t>注：</w:t>
      </w:r>
    </w:p>
    <w:p>
      <w:pPr>
        <w:adjustRightInd w:val="0"/>
        <w:snapToGrid w:val="0"/>
        <w:spacing w:line="420" w:lineRule="exact"/>
        <w:ind w:left="2" w:firstLine="482" w:firstLineChars="201"/>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）以上由供应商填写，作为提供的“资格后审材料文件”内的资料首页清单目录。</w:t>
      </w:r>
    </w:p>
    <w:p>
      <w:pPr>
        <w:adjustRightInd w:val="0"/>
        <w:snapToGrid w:val="0"/>
        <w:spacing w:line="420" w:lineRule="exact"/>
        <w:ind w:left="2" w:firstLine="482" w:firstLineChars="201"/>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）所有资格证明复印件、相关的格式文件及表格，须加盖公章装订成册，正本</w:t>
      </w:r>
      <w:r>
        <w:rPr>
          <w:rFonts w:ascii="宋体" w:hAnsi="宋体" w:eastAsia="宋体" w:cs="宋体"/>
          <w:color w:val="auto"/>
          <w:sz w:val="24"/>
          <w:szCs w:val="24"/>
        </w:rPr>
        <w:t>1</w:t>
      </w:r>
      <w:r>
        <w:rPr>
          <w:rFonts w:hint="eastAsia" w:ascii="宋体" w:hAnsi="宋体" w:eastAsia="宋体" w:cs="宋体"/>
          <w:color w:val="auto"/>
          <w:sz w:val="24"/>
          <w:szCs w:val="24"/>
        </w:rPr>
        <w:t>份副本</w:t>
      </w:r>
      <w:r>
        <w:rPr>
          <w:rFonts w:ascii="宋体" w:hAnsi="宋体" w:eastAsia="宋体" w:cs="宋体"/>
          <w:color w:val="auto"/>
          <w:sz w:val="24"/>
          <w:szCs w:val="24"/>
        </w:rPr>
        <w:t>2</w:t>
      </w:r>
      <w:r>
        <w:rPr>
          <w:rFonts w:hint="eastAsia" w:ascii="宋体" w:hAnsi="宋体" w:eastAsia="宋体" w:cs="宋体"/>
          <w:color w:val="auto"/>
          <w:sz w:val="24"/>
          <w:szCs w:val="24"/>
        </w:rPr>
        <w:t>份，供审查及留存！</w:t>
      </w:r>
    </w:p>
    <w:p>
      <w:pPr>
        <w:adjustRightInd w:val="0"/>
        <w:snapToGrid w:val="0"/>
        <w:spacing w:line="420" w:lineRule="exact"/>
        <w:ind w:left="2" w:firstLine="482" w:firstLineChars="201"/>
        <w:rPr>
          <w:rFonts w:ascii="黑体" w:hAnsi="黑体" w:eastAsia="黑体"/>
          <w:color w:val="auto"/>
          <w:sz w:val="24"/>
          <w:szCs w:val="24"/>
        </w:rPr>
      </w:pPr>
    </w:p>
    <w:p>
      <w:pPr>
        <w:adjustRightInd w:val="0"/>
        <w:snapToGrid w:val="0"/>
        <w:spacing w:line="420" w:lineRule="exact"/>
        <w:ind w:left="2" w:firstLine="482" w:firstLineChars="201"/>
        <w:rPr>
          <w:rFonts w:ascii="黑体" w:hAnsi="黑体" w:eastAsia="黑体"/>
          <w:color w:val="auto"/>
          <w:sz w:val="24"/>
          <w:szCs w:val="24"/>
        </w:rPr>
      </w:pPr>
    </w:p>
    <w:p>
      <w:pPr>
        <w:adjustRightInd w:val="0"/>
        <w:snapToGrid w:val="0"/>
        <w:spacing w:line="420" w:lineRule="exact"/>
        <w:ind w:left="2" w:firstLine="482" w:firstLineChars="201"/>
        <w:rPr>
          <w:rFonts w:ascii="黑体" w:hAnsi="黑体" w:eastAsia="黑体"/>
          <w:color w:val="auto"/>
          <w:sz w:val="24"/>
          <w:szCs w:val="24"/>
        </w:rPr>
      </w:pPr>
    </w:p>
    <w:p>
      <w:pPr>
        <w:adjustRightInd w:val="0"/>
        <w:snapToGrid w:val="0"/>
        <w:spacing w:line="420" w:lineRule="exact"/>
        <w:ind w:left="2" w:firstLine="482" w:firstLineChars="201"/>
        <w:rPr>
          <w:rFonts w:ascii="黑体" w:hAnsi="黑体" w:eastAsia="黑体"/>
          <w:color w:val="auto"/>
          <w:sz w:val="24"/>
          <w:szCs w:val="24"/>
        </w:rPr>
      </w:pPr>
    </w:p>
    <w:p>
      <w:pPr>
        <w:adjustRightInd w:val="0"/>
        <w:snapToGrid w:val="0"/>
        <w:spacing w:line="420" w:lineRule="exact"/>
        <w:ind w:left="2" w:firstLine="482" w:firstLineChars="201"/>
        <w:rPr>
          <w:rFonts w:ascii="黑体" w:hAnsi="黑体" w:eastAsia="黑体"/>
          <w:color w:val="auto"/>
          <w:sz w:val="24"/>
          <w:szCs w:val="24"/>
        </w:rPr>
      </w:pPr>
    </w:p>
    <w:p>
      <w:pPr>
        <w:adjustRightInd w:val="0"/>
        <w:snapToGrid w:val="0"/>
        <w:spacing w:line="420" w:lineRule="exact"/>
        <w:rPr>
          <w:rFonts w:ascii="黑体" w:hAnsi="黑体" w:eastAsia="黑体"/>
          <w:color w:val="auto"/>
          <w:sz w:val="24"/>
          <w:szCs w:val="24"/>
        </w:rPr>
      </w:pPr>
    </w:p>
    <w:p>
      <w:pPr>
        <w:adjustRightInd w:val="0"/>
        <w:snapToGrid w:val="0"/>
        <w:spacing w:line="420" w:lineRule="exact"/>
        <w:ind w:firstLine="424" w:firstLineChars="176"/>
        <w:outlineLvl w:val="3"/>
        <w:rPr>
          <w:rFonts w:ascii="宋体" w:hAnsi="宋体" w:eastAsia="宋体"/>
          <w:b/>
          <w:bCs/>
          <w:color w:val="auto"/>
          <w:sz w:val="24"/>
          <w:szCs w:val="24"/>
        </w:rPr>
      </w:pPr>
      <w:r>
        <w:rPr>
          <w:rFonts w:ascii="宋体" w:hAnsi="宋体" w:eastAsia="宋体" w:cs="宋体"/>
          <w:b/>
          <w:bCs/>
          <w:color w:val="auto"/>
          <w:sz w:val="24"/>
          <w:szCs w:val="24"/>
        </w:rPr>
        <w:br w:type="page"/>
      </w:r>
      <w:r>
        <w:rPr>
          <w:rFonts w:ascii="宋体" w:hAnsi="宋体" w:eastAsia="宋体" w:cs="宋体"/>
          <w:b/>
          <w:bCs/>
          <w:color w:val="auto"/>
          <w:sz w:val="24"/>
          <w:szCs w:val="24"/>
        </w:rPr>
        <w:t>A.2</w:t>
      </w:r>
      <w:r>
        <w:rPr>
          <w:rFonts w:hint="eastAsia" w:ascii="宋体" w:hAnsi="宋体" w:eastAsia="宋体" w:cs="宋体"/>
          <w:b/>
          <w:bCs/>
          <w:color w:val="auto"/>
          <w:sz w:val="24"/>
          <w:szCs w:val="24"/>
        </w:rPr>
        <w:t>、资格后审材料相关格式文件</w:t>
      </w:r>
    </w:p>
    <w:p>
      <w:pPr>
        <w:snapToGrid w:val="0"/>
        <w:spacing w:line="420" w:lineRule="exact"/>
        <w:jc w:val="center"/>
        <w:outlineLvl w:val="4"/>
        <w:rPr>
          <w:rFonts w:ascii="宋体" w:hAnsi="宋体" w:eastAsia="宋体"/>
          <w:b/>
          <w:bCs/>
          <w:color w:val="auto"/>
          <w:sz w:val="24"/>
          <w:szCs w:val="24"/>
        </w:rPr>
      </w:pPr>
      <w:r>
        <w:rPr>
          <w:rFonts w:ascii="宋体" w:hAnsi="宋体" w:eastAsia="宋体" w:cs="宋体"/>
          <w:b/>
          <w:bCs/>
          <w:color w:val="auto"/>
          <w:sz w:val="24"/>
          <w:szCs w:val="24"/>
        </w:rPr>
        <w:t>1.</w:t>
      </w:r>
      <w:r>
        <w:rPr>
          <w:rFonts w:hint="eastAsia" w:ascii="宋体" w:hAnsi="宋体" w:eastAsia="宋体" w:cs="宋体"/>
          <w:b/>
          <w:bCs/>
          <w:color w:val="auto"/>
          <w:sz w:val="24"/>
          <w:szCs w:val="24"/>
        </w:rPr>
        <w:t>法定代表人身份证明</w:t>
      </w:r>
    </w:p>
    <w:p>
      <w:pPr>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南通市老干部活动中心：</w:t>
      </w:r>
    </w:p>
    <w:p>
      <w:pPr>
        <w:snapToGrid w:val="0"/>
        <w:spacing w:line="420" w:lineRule="exact"/>
        <w:jc w:val="center"/>
        <w:rPr>
          <w:rFonts w:ascii="宋体" w:hAnsi="宋体" w:eastAsia="宋体"/>
          <w:color w:val="auto"/>
          <w:sz w:val="24"/>
          <w:szCs w:val="24"/>
        </w:rPr>
      </w:pPr>
      <w:r>
        <w:rPr>
          <w:rFonts w:hint="eastAsia" w:ascii="宋体" w:hAnsi="宋体" w:eastAsia="宋体" w:cs="宋体"/>
          <w:color w:val="auto"/>
          <w:sz w:val="24"/>
          <w:szCs w:val="24"/>
          <w:u w:val="single"/>
        </w:rPr>
        <w:t>先生／女士：</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职务，为法定代表人，特此证明。</w:t>
      </w:r>
    </w:p>
    <w:p>
      <w:pPr>
        <w:snapToGrid w:val="0"/>
        <w:spacing w:line="420" w:lineRule="exact"/>
        <w:jc w:val="left"/>
        <w:rPr>
          <w:rFonts w:ascii="宋体" w:hAnsi="宋体" w:eastAsia="宋体"/>
          <w:color w:val="auto"/>
          <w:sz w:val="24"/>
          <w:szCs w:val="24"/>
          <w:u w:val="single"/>
        </w:rPr>
      </w:pPr>
      <w:r>
        <w:rPr>
          <w:rFonts w:hint="eastAsia" w:ascii="宋体" w:hAnsi="宋体" w:eastAsia="宋体" w:cs="宋体"/>
          <w:color w:val="auto"/>
          <w:sz w:val="24"/>
          <w:szCs w:val="24"/>
        </w:rPr>
        <w:t>身份证号码：</w:t>
      </w:r>
    </w:p>
    <w:p>
      <w:pPr>
        <w:snapToGrid w:val="0"/>
        <w:spacing w:line="420" w:lineRule="exact"/>
        <w:ind w:firstLine="484" w:firstLineChars="202"/>
        <w:jc w:val="right"/>
        <w:rPr>
          <w:rFonts w:ascii="宋体" w:hAnsi="宋体" w:eastAsia="宋体"/>
          <w:color w:val="auto"/>
          <w:sz w:val="24"/>
          <w:szCs w:val="24"/>
        </w:rPr>
      </w:pPr>
      <w:r>
        <w:rPr>
          <w:rFonts w:hint="eastAsia" w:ascii="宋体" w:hAnsi="宋体" w:eastAsia="宋体" w:cs="宋体"/>
          <w:color w:val="auto"/>
          <w:sz w:val="24"/>
          <w:szCs w:val="24"/>
        </w:rPr>
        <w:t>供应商（盖章）</w:t>
      </w:r>
    </w:p>
    <w:p>
      <w:pPr>
        <w:snapToGrid w:val="0"/>
        <w:spacing w:line="420" w:lineRule="exact"/>
        <w:ind w:firstLine="484" w:firstLineChars="202"/>
        <w:jc w:val="right"/>
        <w:rPr>
          <w:rFonts w:ascii="宋体" w:hAnsi="宋体" w:eastAsia="宋体"/>
          <w:color w:val="auto"/>
          <w:sz w:val="24"/>
          <w:szCs w:val="24"/>
        </w:rPr>
      </w:pPr>
      <w:r>
        <w:rPr>
          <w:rFonts w:hint="eastAsia" w:ascii="宋体" w:hAnsi="宋体" w:eastAsia="宋体" w:cs="宋体"/>
          <w:color w:val="auto"/>
          <w:sz w:val="24"/>
          <w:szCs w:val="24"/>
        </w:rPr>
        <w:t>年月日</w:t>
      </w:r>
    </w:p>
    <w:p>
      <w:pPr>
        <w:snapToGrid w:val="0"/>
        <w:spacing w:line="420" w:lineRule="exact"/>
        <w:ind w:firstLine="484" w:firstLineChars="202"/>
        <w:jc w:val="right"/>
        <w:rPr>
          <w:rFonts w:ascii="宋体" w:hAnsi="宋体" w:eastAsia="宋体"/>
          <w:color w:val="auto"/>
          <w:sz w:val="24"/>
          <w:szCs w:val="24"/>
        </w:rPr>
      </w:pPr>
    </w:p>
    <w:p>
      <w:pPr>
        <w:snapToGrid w:val="0"/>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注：提供法定代表人的身份证复印件并加盖公章</w:t>
      </w:r>
    </w:p>
    <w:p>
      <w:pPr>
        <w:snapToGrid w:val="0"/>
        <w:spacing w:line="420" w:lineRule="exact"/>
        <w:jc w:val="center"/>
        <w:rPr>
          <w:rFonts w:ascii="宋体" w:hAnsi="宋体" w:eastAsia="宋体"/>
          <w:color w:val="auto"/>
          <w:sz w:val="24"/>
          <w:szCs w:val="24"/>
        </w:rPr>
      </w:pPr>
    </w:p>
    <w:p>
      <w:pPr>
        <w:snapToGrid w:val="0"/>
        <w:spacing w:line="420" w:lineRule="exact"/>
        <w:jc w:val="center"/>
        <w:outlineLvl w:val="4"/>
        <w:rPr>
          <w:rFonts w:ascii="宋体" w:hAnsi="宋体" w:eastAsia="宋体"/>
          <w:b/>
          <w:bCs/>
          <w:color w:val="auto"/>
          <w:sz w:val="24"/>
          <w:szCs w:val="24"/>
        </w:rPr>
      </w:pPr>
      <w:r>
        <w:rPr>
          <w:rFonts w:ascii="宋体" w:hAnsi="宋体" w:eastAsia="宋体" w:cs="宋体"/>
          <w:b/>
          <w:bCs/>
          <w:color w:val="auto"/>
          <w:sz w:val="24"/>
          <w:szCs w:val="24"/>
        </w:rPr>
        <w:t>2.</w:t>
      </w:r>
      <w:r>
        <w:rPr>
          <w:rFonts w:hint="eastAsia" w:ascii="宋体" w:hAnsi="宋体" w:eastAsia="宋体" w:cs="宋体"/>
          <w:b/>
          <w:bCs/>
          <w:color w:val="auto"/>
          <w:sz w:val="24"/>
          <w:szCs w:val="24"/>
        </w:rPr>
        <w:t>法定代表人授权委托书</w:t>
      </w:r>
    </w:p>
    <w:p>
      <w:pPr>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南通市老干部活动中心：</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本授权委托书声明：我</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（姓名）系</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（供应商名称）的法定代表人，现授权委托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（姓名）为我公司为代理人，以本公司的名义参加本项目的磋商响应活动。被委托受权人在开标、评标、合同谈判过程中所签署的一切文件和处理与之有关的一切事务，我及我公司均予以承认。</w:t>
      </w:r>
    </w:p>
    <w:p>
      <w:pPr>
        <w:snapToGrid w:val="0"/>
        <w:spacing w:line="420" w:lineRule="exact"/>
        <w:ind w:firstLine="484" w:firstLineChars="202"/>
        <w:rPr>
          <w:rFonts w:ascii="宋体" w:hAnsi="宋体" w:eastAsia="宋体"/>
          <w:color w:val="auto"/>
          <w:sz w:val="24"/>
          <w:szCs w:val="24"/>
        </w:rPr>
      </w:pPr>
      <w:r>
        <w:rPr>
          <w:rFonts w:hint="eastAsia" w:ascii="宋体" w:hAnsi="宋体" w:eastAsia="宋体" w:cs="宋体"/>
          <w:color w:val="auto"/>
          <w:sz w:val="24"/>
          <w:szCs w:val="24"/>
        </w:rPr>
        <w:t>委托代理人无转委权。特此委托。</w:t>
      </w:r>
    </w:p>
    <w:p>
      <w:pPr>
        <w:snapToGrid w:val="0"/>
        <w:spacing w:line="420" w:lineRule="exact"/>
        <w:ind w:firstLine="972" w:firstLineChars="405"/>
        <w:rPr>
          <w:rFonts w:ascii="宋体" w:hAnsi="宋体" w:eastAsia="宋体"/>
          <w:color w:val="auto"/>
          <w:sz w:val="24"/>
          <w:szCs w:val="24"/>
        </w:rPr>
      </w:pPr>
    </w:p>
    <w:p>
      <w:pPr>
        <w:snapToGrid w:val="0"/>
        <w:spacing w:line="420" w:lineRule="exact"/>
        <w:ind w:firstLine="972" w:firstLineChars="405"/>
        <w:rPr>
          <w:rFonts w:ascii="宋体" w:hAnsi="宋体" w:eastAsia="宋体"/>
          <w:color w:val="auto"/>
          <w:sz w:val="24"/>
          <w:szCs w:val="24"/>
        </w:rPr>
      </w:pPr>
      <w:r>
        <w:rPr>
          <w:rFonts w:hint="eastAsia" w:ascii="宋体" w:hAnsi="宋体" w:eastAsia="宋体" w:cs="宋体"/>
          <w:color w:val="auto"/>
          <w:sz w:val="24"/>
          <w:szCs w:val="24"/>
        </w:rPr>
        <w:t>法定代表人签字：</w:t>
      </w:r>
    </w:p>
    <w:p>
      <w:pPr>
        <w:snapToGrid w:val="0"/>
        <w:spacing w:line="420" w:lineRule="exact"/>
        <w:ind w:firstLine="972" w:firstLineChars="405"/>
        <w:rPr>
          <w:rFonts w:ascii="宋体" w:hAnsi="宋体" w:eastAsia="宋体"/>
          <w:color w:val="auto"/>
          <w:sz w:val="24"/>
          <w:szCs w:val="24"/>
        </w:rPr>
      </w:pPr>
      <w:r>
        <w:rPr>
          <w:rFonts w:hint="eastAsia" w:ascii="宋体" w:hAnsi="宋体" w:eastAsia="宋体" w:cs="宋体"/>
          <w:color w:val="auto"/>
          <w:sz w:val="24"/>
          <w:szCs w:val="24"/>
        </w:rPr>
        <w:t>委托代理人身份证号：</w:t>
      </w:r>
    </w:p>
    <w:p>
      <w:pPr>
        <w:snapToGrid w:val="0"/>
        <w:spacing w:line="420" w:lineRule="exact"/>
        <w:ind w:firstLine="972" w:firstLineChars="405"/>
        <w:rPr>
          <w:rFonts w:ascii="宋体" w:hAnsi="宋体" w:eastAsia="宋体"/>
          <w:color w:val="auto"/>
          <w:sz w:val="24"/>
          <w:szCs w:val="24"/>
        </w:rPr>
      </w:pPr>
      <w:r>
        <w:rPr>
          <w:rFonts w:hint="eastAsia" w:ascii="宋体" w:hAnsi="宋体" w:eastAsia="宋体" w:cs="宋体"/>
          <w:color w:val="auto"/>
          <w:sz w:val="24"/>
          <w:szCs w:val="24"/>
        </w:rPr>
        <w:t>委托代理人签字：</w:t>
      </w:r>
    </w:p>
    <w:p>
      <w:pPr>
        <w:snapToGrid w:val="0"/>
        <w:spacing w:line="420" w:lineRule="exact"/>
        <w:ind w:firstLine="484" w:firstLineChars="202"/>
        <w:jc w:val="right"/>
        <w:rPr>
          <w:rFonts w:ascii="宋体" w:hAnsi="宋体" w:eastAsia="宋体"/>
          <w:color w:val="auto"/>
          <w:sz w:val="24"/>
          <w:szCs w:val="24"/>
        </w:rPr>
      </w:pPr>
      <w:r>
        <w:rPr>
          <w:rFonts w:hint="eastAsia" w:ascii="宋体" w:hAnsi="宋体" w:eastAsia="宋体" w:cs="宋体"/>
          <w:color w:val="auto"/>
          <w:sz w:val="24"/>
          <w:szCs w:val="24"/>
        </w:rPr>
        <w:t>供应商（盖章）</w:t>
      </w:r>
    </w:p>
    <w:p>
      <w:pPr>
        <w:snapToGrid w:val="0"/>
        <w:spacing w:line="420" w:lineRule="exact"/>
        <w:ind w:firstLine="484" w:firstLineChars="202"/>
        <w:jc w:val="right"/>
        <w:rPr>
          <w:rFonts w:ascii="宋体" w:hAnsi="宋体" w:eastAsia="宋体"/>
          <w:color w:val="auto"/>
          <w:sz w:val="24"/>
          <w:szCs w:val="24"/>
        </w:rPr>
      </w:pPr>
      <w:r>
        <w:rPr>
          <w:rFonts w:hint="eastAsia" w:ascii="宋体" w:hAnsi="宋体" w:eastAsia="宋体" w:cs="宋体"/>
          <w:color w:val="auto"/>
          <w:sz w:val="24"/>
          <w:szCs w:val="24"/>
        </w:rPr>
        <w:t>年月日</w:t>
      </w:r>
    </w:p>
    <w:p>
      <w:pPr>
        <w:snapToGrid w:val="0"/>
        <w:spacing w:line="420" w:lineRule="exact"/>
        <w:ind w:firstLine="484" w:firstLineChars="202"/>
        <w:jc w:val="right"/>
        <w:rPr>
          <w:rFonts w:ascii="宋体" w:hAnsi="宋体" w:eastAsia="宋体"/>
          <w:color w:val="auto"/>
          <w:sz w:val="24"/>
          <w:szCs w:val="24"/>
        </w:rPr>
      </w:pPr>
    </w:p>
    <w:p>
      <w:pPr>
        <w:snapToGrid w:val="0"/>
        <w:spacing w:line="420" w:lineRule="exact"/>
        <w:ind w:firstLine="321" w:firstLineChars="134"/>
        <w:jc w:val="center"/>
        <w:rPr>
          <w:rFonts w:ascii="宋体" w:hAnsi="宋体" w:eastAsia="宋体"/>
          <w:color w:val="auto"/>
          <w:sz w:val="24"/>
          <w:szCs w:val="24"/>
        </w:rPr>
      </w:pPr>
      <w:r>
        <w:rPr>
          <w:rFonts w:hint="eastAsia" w:ascii="宋体" w:hAnsi="宋体" w:eastAsia="宋体" w:cs="宋体"/>
          <w:color w:val="auto"/>
          <w:sz w:val="24"/>
          <w:szCs w:val="24"/>
        </w:rPr>
        <w:t>注：提供委托代理人的身份证复印件盖公章，将身份证原件带至开标现场备查</w:t>
      </w:r>
    </w:p>
    <w:p>
      <w:pPr>
        <w:snapToGrid w:val="0"/>
        <w:spacing w:line="420" w:lineRule="exact"/>
        <w:ind w:firstLine="321" w:firstLineChars="134"/>
        <w:jc w:val="center"/>
        <w:rPr>
          <w:rFonts w:ascii="宋体" w:hAnsi="宋体" w:eastAsia="宋体"/>
          <w:color w:val="auto"/>
          <w:sz w:val="24"/>
          <w:szCs w:val="24"/>
        </w:rPr>
      </w:pPr>
    </w:p>
    <w:p>
      <w:pPr>
        <w:snapToGrid w:val="0"/>
        <w:spacing w:line="420" w:lineRule="exact"/>
        <w:jc w:val="center"/>
        <w:outlineLvl w:val="4"/>
        <w:rPr>
          <w:rFonts w:ascii="宋体" w:hAnsi="宋体" w:eastAsia="宋体"/>
          <w:b/>
          <w:bCs/>
          <w:color w:val="auto"/>
          <w:sz w:val="24"/>
          <w:szCs w:val="24"/>
        </w:rPr>
      </w:pPr>
      <w:r>
        <w:rPr>
          <w:rFonts w:ascii="宋体" w:hAnsi="宋体" w:eastAsia="宋体" w:cs="宋体"/>
          <w:b/>
          <w:bCs/>
          <w:color w:val="auto"/>
          <w:sz w:val="24"/>
          <w:szCs w:val="24"/>
        </w:rPr>
        <w:t>3.</w:t>
      </w:r>
      <w:r>
        <w:rPr>
          <w:rFonts w:hint="eastAsia" w:ascii="宋体" w:hAnsi="宋体" w:eastAsia="宋体" w:cs="宋体"/>
          <w:b/>
          <w:bCs/>
          <w:color w:val="auto"/>
          <w:sz w:val="24"/>
          <w:szCs w:val="24"/>
        </w:rPr>
        <w:t>无重大违法记录声明</w:t>
      </w:r>
    </w:p>
    <w:p>
      <w:pPr>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南通市老干部活动中心：</w:t>
      </w:r>
    </w:p>
    <w:p>
      <w:pPr>
        <w:spacing w:line="420" w:lineRule="exact"/>
        <w:rPr>
          <w:rFonts w:ascii="宋体" w:hAnsi="宋体" w:eastAsia="宋体"/>
          <w:color w:val="auto"/>
          <w:sz w:val="24"/>
          <w:szCs w:val="24"/>
        </w:rPr>
      </w:pPr>
      <w:r>
        <w:rPr>
          <w:rFonts w:hint="eastAsia" w:ascii="宋体" w:hAnsi="宋体" w:eastAsia="宋体" w:cs="宋体"/>
          <w:color w:val="auto"/>
          <w:sz w:val="24"/>
          <w:szCs w:val="24"/>
        </w:rPr>
        <w:t>我单位（供应商名称）郑重声明：</w:t>
      </w:r>
    </w:p>
    <w:p>
      <w:pPr>
        <w:spacing w:line="420" w:lineRule="exact"/>
        <w:rPr>
          <w:rFonts w:ascii="宋体" w:hAnsi="宋体" w:eastAsia="宋体"/>
          <w:color w:val="auto"/>
          <w:sz w:val="24"/>
          <w:szCs w:val="24"/>
        </w:rPr>
      </w:pPr>
      <w:r>
        <w:rPr>
          <w:rFonts w:hint="eastAsia" w:ascii="宋体" w:hAnsi="宋体" w:eastAsia="宋体" w:cs="宋体"/>
          <w:color w:val="auto"/>
          <w:sz w:val="24"/>
          <w:szCs w:val="24"/>
        </w:rPr>
        <w:t>参加政府采购活动前</w:t>
      </w:r>
      <w:r>
        <w:rPr>
          <w:rFonts w:ascii="宋体" w:hAnsi="宋体" w:eastAsia="宋体" w:cs="宋体"/>
          <w:color w:val="auto"/>
          <w:sz w:val="24"/>
          <w:szCs w:val="24"/>
        </w:rPr>
        <w:t>3</w:t>
      </w:r>
      <w:r>
        <w:rPr>
          <w:rFonts w:hint="eastAsia" w:ascii="宋体" w:hAnsi="宋体" w:eastAsia="宋体" w:cs="宋体"/>
          <w:color w:val="auto"/>
          <w:sz w:val="24"/>
          <w:szCs w:val="24"/>
        </w:rPr>
        <w:t>年内在经营活动中（在下划线上如实填写：有或没有）重大违法记录。</w:t>
      </w:r>
    </w:p>
    <w:p>
      <w:pPr>
        <w:spacing w:line="420" w:lineRule="exact"/>
        <w:ind w:firstLine="480"/>
        <w:rPr>
          <w:rFonts w:ascii="宋体" w:hAnsi="宋体" w:eastAsia="宋体"/>
          <w:color w:val="auto"/>
          <w:sz w:val="24"/>
          <w:szCs w:val="24"/>
        </w:rPr>
      </w:pPr>
      <w:r>
        <w:rPr>
          <w:rFonts w:hint="eastAsia" w:ascii="宋体" w:hAnsi="宋体" w:eastAsia="宋体" w:cs="宋体"/>
          <w:color w:val="auto"/>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hAnsi="宋体" w:eastAsia="宋体"/>
          <w:color w:val="auto"/>
          <w:sz w:val="24"/>
          <w:szCs w:val="24"/>
        </w:rPr>
      </w:pPr>
      <w:r>
        <w:rPr>
          <w:rFonts w:hint="eastAsia" w:ascii="宋体" w:hAnsi="宋体" w:eastAsia="宋体" w:cs="宋体"/>
          <w:color w:val="auto"/>
          <w:sz w:val="24"/>
          <w:szCs w:val="24"/>
        </w:rPr>
        <w:t>声明人：（公章）</w:t>
      </w:r>
    </w:p>
    <w:p>
      <w:pPr>
        <w:spacing w:line="420" w:lineRule="exact"/>
        <w:jc w:val="right"/>
        <w:rPr>
          <w:rFonts w:ascii="宋体" w:hAnsi="宋体" w:eastAsia="宋体"/>
          <w:color w:val="auto"/>
          <w:sz w:val="24"/>
          <w:szCs w:val="24"/>
        </w:rPr>
      </w:pPr>
      <w:r>
        <w:rPr>
          <w:rFonts w:hint="eastAsia" w:ascii="宋体" w:hAnsi="宋体" w:eastAsia="宋体" w:cs="宋体"/>
          <w:color w:val="auto"/>
          <w:sz w:val="24"/>
          <w:szCs w:val="24"/>
        </w:rPr>
        <w:t>年月日</w:t>
      </w:r>
    </w:p>
    <w:p>
      <w:pPr>
        <w:snapToGrid w:val="0"/>
        <w:spacing w:line="420" w:lineRule="exact"/>
        <w:jc w:val="center"/>
        <w:outlineLvl w:val="4"/>
        <w:rPr>
          <w:rFonts w:ascii="宋体" w:hAnsi="宋体" w:eastAsia="宋体"/>
          <w:color w:val="auto"/>
          <w:sz w:val="24"/>
          <w:szCs w:val="24"/>
        </w:rPr>
      </w:pPr>
      <w:r>
        <w:rPr>
          <w:rFonts w:ascii="宋体" w:hAnsi="宋体" w:eastAsia="宋体" w:cs="宋体"/>
          <w:b/>
          <w:bCs/>
          <w:color w:val="auto"/>
          <w:sz w:val="24"/>
          <w:szCs w:val="24"/>
        </w:rPr>
        <w:t>4.</w:t>
      </w:r>
      <w:r>
        <w:rPr>
          <w:rFonts w:hint="eastAsia" w:ascii="宋体" w:hAnsi="宋体" w:eastAsia="宋体" w:cs="宋体"/>
          <w:b/>
          <w:bCs/>
          <w:color w:val="auto"/>
          <w:sz w:val="24"/>
          <w:szCs w:val="24"/>
        </w:rPr>
        <w:t>关于资格文件的声明函</w:t>
      </w:r>
    </w:p>
    <w:p>
      <w:pPr>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南通市老干部活动中心：</w:t>
      </w:r>
    </w:p>
    <w:p>
      <w:pPr>
        <w:overflowPunct w:val="0"/>
        <w:adjustRightInd w:val="0"/>
        <w:spacing w:line="420" w:lineRule="exact"/>
        <w:ind w:firstLine="660"/>
        <w:jc w:val="left"/>
        <w:textAlignment w:val="baseline"/>
        <w:rPr>
          <w:rFonts w:ascii="宋体" w:hAnsi="宋体" w:eastAsia="宋体"/>
          <w:color w:val="auto"/>
          <w:sz w:val="24"/>
          <w:szCs w:val="24"/>
        </w:rPr>
      </w:pPr>
      <w:r>
        <w:rPr>
          <w:rFonts w:hint="eastAsia" w:ascii="宋体" w:hAnsi="宋体" w:eastAsia="宋体" w:cs="宋体"/>
          <w:color w:val="auto"/>
          <w:sz w:val="24"/>
          <w:szCs w:val="24"/>
        </w:rPr>
        <w:t>本公司愿就由贵</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组织实施的的招标活动进行投标。本公司所提交的磋商响应文件中所有关于投标资格的文件、证明和陈述均是真实的、准确的。若与真实情况不符，本公司愿意承担由此而产生的一切后果。</w:t>
      </w:r>
    </w:p>
    <w:p>
      <w:pPr>
        <w:overflowPunct w:val="0"/>
        <w:adjustRightInd w:val="0"/>
        <w:spacing w:line="420" w:lineRule="exact"/>
        <w:ind w:firstLine="420"/>
        <w:jc w:val="right"/>
        <w:textAlignment w:val="baseline"/>
        <w:rPr>
          <w:rFonts w:ascii="宋体" w:hAnsi="宋体" w:eastAsia="宋体"/>
          <w:color w:val="auto"/>
          <w:sz w:val="24"/>
          <w:szCs w:val="24"/>
        </w:rPr>
      </w:pPr>
      <w:r>
        <w:rPr>
          <w:rFonts w:hint="eastAsia" w:ascii="宋体" w:hAnsi="宋体" w:eastAsia="宋体" w:cs="宋体"/>
          <w:color w:val="auto"/>
          <w:sz w:val="24"/>
          <w:szCs w:val="24"/>
        </w:rPr>
        <w:t>（供应商）法定代表人或委托代理人（签字或盖章）：</w:t>
      </w:r>
    </w:p>
    <w:p>
      <w:pPr>
        <w:overflowPunct w:val="0"/>
        <w:adjustRightInd w:val="0"/>
        <w:spacing w:line="420" w:lineRule="exact"/>
        <w:ind w:left="1700" w:firstLine="425"/>
        <w:jc w:val="left"/>
        <w:textAlignment w:val="baseline"/>
        <w:rPr>
          <w:rFonts w:ascii="宋体" w:hAnsi="宋体" w:eastAsia="宋体"/>
          <w:color w:val="auto"/>
          <w:sz w:val="24"/>
          <w:szCs w:val="24"/>
        </w:rPr>
      </w:pPr>
      <w:r>
        <w:rPr>
          <w:rFonts w:hint="eastAsia" w:ascii="宋体" w:hAnsi="宋体" w:eastAsia="宋体" w:cs="宋体"/>
          <w:color w:val="auto"/>
          <w:sz w:val="24"/>
          <w:szCs w:val="24"/>
        </w:rPr>
        <w:t>（供应商）公章：</w:t>
      </w:r>
    </w:p>
    <w:p>
      <w:pPr>
        <w:wordWrap w:val="0"/>
        <w:overflowPunct w:val="0"/>
        <w:adjustRightInd w:val="0"/>
        <w:spacing w:line="420" w:lineRule="exact"/>
        <w:ind w:firstLine="420"/>
        <w:jc w:val="right"/>
        <w:textAlignment w:val="baseline"/>
        <w:rPr>
          <w:rFonts w:ascii="宋体" w:hAnsi="宋体" w:eastAsia="宋体"/>
          <w:color w:val="auto"/>
          <w:sz w:val="24"/>
          <w:szCs w:val="24"/>
        </w:rPr>
      </w:pPr>
      <w:r>
        <w:rPr>
          <w:rFonts w:hint="eastAsia" w:ascii="宋体" w:hAnsi="宋体" w:eastAsia="宋体" w:cs="宋体"/>
          <w:color w:val="auto"/>
          <w:sz w:val="24"/>
          <w:szCs w:val="24"/>
        </w:rPr>
        <w:t>年</w:t>
      </w:r>
      <w:r>
        <w:rPr>
          <w:rFonts w:ascii="宋体" w:hAnsi="宋体" w:eastAsia="宋体"/>
          <w:color w:val="auto"/>
          <w:sz w:val="24"/>
          <w:szCs w:val="24"/>
        </w:rPr>
        <w:tab/>
      </w:r>
      <w:r>
        <w:rPr>
          <w:rFonts w:hint="eastAsia" w:ascii="宋体" w:hAnsi="宋体" w:eastAsia="宋体" w:cs="宋体"/>
          <w:color w:val="auto"/>
          <w:sz w:val="24"/>
          <w:szCs w:val="24"/>
        </w:rPr>
        <w:t>月日</w:t>
      </w:r>
    </w:p>
    <w:p>
      <w:pPr>
        <w:overflowPunct w:val="0"/>
        <w:adjustRightInd w:val="0"/>
        <w:spacing w:line="420" w:lineRule="exact"/>
        <w:ind w:firstLine="420"/>
        <w:jc w:val="right"/>
        <w:textAlignment w:val="baseline"/>
        <w:rPr>
          <w:rFonts w:ascii="宋体" w:hAnsi="宋体" w:eastAsia="宋体"/>
          <w:color w:val="auto"/>
          <w:sz w:val="24"/>
          <w:szCs w:val="24"/>
        </w:rPr>
      </w:pPr>
    </w:p>
    <w:p>
      <w:pPr>
        <w:snapToGrid w:val="0"/>
        <w:spacing w:line="420" w:lineRule="exact"/>
        <w:jc w:val="center"/>
        <w:outlineLvl w:val="4"/>
        <w:rPr>
          <w:rFonts w:ascii="宋体" w:hAnsi="宋体" w:eastAsia="宋体"/>
          <w:b/>
          <w:bCs/>
          <w:color w:val="auto"/>
          <w:sz w:val="24"/>
          <w:szCs w:val="24"/>
        </w:rPr>
      </w:pPr>
      <w:r>
        <w:rPr>
          <w:rFonts w:ascii="宋体" w:hAnsi="宋体" w:eastAsia="宋体" w:cs="宋体"/>
          <w:b/>
          <w:bCs/>
          <w:color w:val="auto"/>
          <w:sz w:val="24"/>
          <w:szCs w:val="24"/>
        </w:rPr>
        <w:t>5.</w:t>
      </w:r>
      <w:r>
        <w:rPr>
          <w:rFonts w:hint="eastAsia" w:ascii="宋体" w:hAnsi="宋体" w:eastAsia="宋体" w:cs="宋体"/>
          <w:b/>
          <w:bCs/>
          <w:color w:val="auto"/>
          <w:sz w:val="24"/>
          <w:szCs w:val="24"/>
        </w:rPr>
        <w:t>供应商一般情况</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402"/>
        <w:gridCol w:w="70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w:t>
            </w:r>
          </w:p>
        </w:tc>
        <w:tc>
          <w:tcPr>
            <w:tcW w:w="8505" w:type="dxa"/>
            <w:gridSpan w:val="3"/>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w:t>
            </w:r>
          </w:p>
        </w:tc>
        <w:tc>
          <w:tcPr>
            <w:tcW w:w="8505" w:type="dxa"/>
            <w:gridSpan w:val="3"/>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w:t>
            </w:r>
          </w:p>
        </w:tc>
        <w:tc>
          <w:tcPr>
            <w:tcW w:w="8505" w:type="dxa"/>
            <w:gridSpan w:val="3"/>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当地分支机构地址：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w:t>
            </w:r>
          </w:p>
        </w:tc>
        <w:tc>
          <w:tcPr>
            <w:tcW w:w="3402" w:type="dxa"/>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电话：</w:t>
            </w:r>
          </w:p>
        </w:tc>
        <w:tc>
          <w:tcPr>
            <w:tcW w:w="5103" w:type="dxa"/>
            <w:gridSpan w:val="2"/>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w:t>
            </w:r>
          </w:p>
        </w:tc>
        <w:tc>
          <w:tcPr>
            <w:tcW w:w="3402" w:type="dxa"/>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传真：</w:t>
            </w:r>
          </w:p>
        </w:tc>
        <w:tc>
          <w:tcPr>
            <w:tcW w:w="5103" w:type="dxa"/>
            <w:gridSpan w:val="2"/>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6</w:t>
            </w:r>
            <w:r>
              <w:rPr>
                <w:rFonts w:hint="eastAsia" w:ascii="宋体" w:hAnsi="宋体" w:eastAsia="宋体" w:cs="宋体"/>
                <w:color w:val="auto"/>
                <w:sz w:val="24"/>
                <w:szCs w:val="24"/>
              </w:rPr>
              <w:t>）</w:t>
            </w:r>
          </w:p>
        </w:tc>
        <w:tc>
          <w:tcPr>
            <w:tcW w:w="3402" w:type="dxa"/>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注册地：</w:t>
            </w:r>
          </w:p>
        </w:tc>
        <w:tc>
          <w:tcPr>
            <w:tcW w:w="5103" w:type="dxa"/>
            <w:gridSpan w:val="2"/>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7</w:t>
            </w:r>
            <w:r>
              <w:rPr>
                <w:rFonts w:hint="eastAsia" w:ascii="宋体" w:hAnsi="宋体" w:eastAsia="宋体" w:cs="宋体"/>
                <w:color w:val="auto"/>
                <w:sz w:val="24"/>
                <w:szCs w:val="24"/>
              </w:rPr>
              <w:t>）</w:t>
            </w:r>
          </w:p>
        </w:tc>
        <w:tc>
          <w:tcPr>
            <w:tcW w:w="8505" w:type="dxa"/>
            <w:gridSpan w:val="3"/>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公司资质等级证书号（如有，请附有关证书的复印件）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8</w:t>
            </w:r>
            <w:r>
              <w:rPr>
                <w:rFonts w:hint="eastAsia" w:ascii="宋体" w:hAnsi="宋体" w:eastAsia="宋体" w:cs="宋体"/>
                <w:color w:val="auto"/>
                <w:sz w:val="24"/>
                <w:szCs w:val="24"/>
              </w:rPr>
              <w:t>）</w:t>
            </w:r>
          </w:p>
        </w:tc>
        <w:tc>
          <w:tcPr>
            <w:tcW w:w="8505" w:type="dxa"/>
            <w:gridSpan w:val="3"/>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公司</w:t>
            </w:r>
            <w:r>
              <w:rPr>
                <w:rFonts w:hint="eastAsia" w:ascii="宋体" w:hAnsi="宋体" w:eastAsia="宋体" w:cs="宋体"/>
                <w:color w:val="auto"/>
                <w:sz w:val="24"/>
                <w:szCs w:val="24"/>
                <w:u w:val="single"/>
              </w:rPr>
              <w:t>（是否通过，何种）</w:t>
            </w:r>
            <w:r>
              <w:rPr>
                <w:rFonts w:hint="eastAsia" w:ascii="宋体" w:hAnsi="宋体" w:eastAsia="宋体" w:cs="宋体"/>
                <w:color w:val="auto"/>
                <w:sz w:val="24"/>
                <w:szCs w:val="24"/>
              </w:rPr>
              <w:t>质量保证体系认证（如通过请附相关证书复印件，没有请忽略该项）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9</w:t>
            </w:r>
            <w:r>
              <w:rPr>
                <w:rFonts w:hint="eastAsia" w:ascii="宋体" w:hAnsi="宋体" w:eastAsia="宋体" w:cs="宋体"/>
                <w:color w:val="auto"/>
                <w:sz w:val="24"/>
                <w:szCs w:val="24"/>
              </w:rPr>
              <w:t>）</w:t>
            </w:r>
          </w:p>
        </w:tc>
        <w:tc>
          <w:tcPr>
            <w:tcW w:w="8505" w:type="dxa"/>
            <w:gridSpan w:val="3"/>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经营范围：</w:t>
            </w:r>
          </w:p>
          <w:p>
            <w:pPr>
              <w:tabs>
                <w:tab w:val="left" w:pos="993"/>
              </w:tabs>
              <w:spacing w:line="420" w:lineRule="exact"/>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w:t>
            </w:r>
          </w:p>
          <w:p>
            <w:pPr>
              <w:tabs>
                <w:tab w:val="left" w:pos="993"/>
              </w:tabs>
              <w:spacing w:line="420" w:lineRule="exact"/>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w:t>
            </w:r>
          </w:p>
          <w:p>
            <w:pPr>
              <w:tabs>
                <w:tab w:val="left" w:pos="993"/>
              </w:tabs>
              <w:spacing w:line="420" w:lineRule="exact"/>
              <w:rPr>
                <w:rFonts w:ascii="宋体" w:hAnsi="宋体" w:eastAsia="宋体"/>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10</w:t>
            </w:r>
            <w:r>
              <w:rPr>
                <w:rFonts w:hint="eastAsia" w:ascii="宋体" w:hAnsi="宋体" w:eastAsia="宋体" w:cs="宋体"/>
                <w:color w:val="auto"/>
                <w:sz w:val="24"/>
                <w:szCs w:val="24"/>
              </w:rPr>
              <w:t>）</w:t>
            </w:r>
          </w:p>
        </w:tc>
        <w:tc>
          <w:tcPr>
            <w:tcW w:w="4111" w:type="dxa"/>
            <w:gridSpan w:val="2"/>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供应商从事类似磋商项目的年数</w:t>
            </w:r>
          </w:p>
        </w:tc>
        <w:tc>
          <w:tcPr>
            <w:tcW w:w="4394" w:type="dxa"/>
            <w:vAlign w:val="center"/>
          </w:tcPr>
          <w:p>
            <w:pPr>
              <w:tabs>
                <w:tab w:val="left" w:pos="993"/>
              </w:tabs>
              <w:spacing w:line="420" w:lineRule="exac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92" w:type="dxa"/>
            <w:vAlign w:val="center"/>
          </w:tcPr>
          <w:p>
            <w:pPr>
              <w:tabs>
                <w:tab w:val="left" w:pos="993"/>
              </w:tabs>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11</w:t>
            </w:r>
            <w:r>
              <w:rPr>
                <w:rFonts w:hint="eastAsia" w:ascii="宋体" w:hAnsi="宋体" w:eastAsia="宋体" w:cs="宋体"/>
                <w:color w:val="auto"/>
                <w:sz w:val="24"/>
                <w:szCs w:val="24"/>
              </w:rPr>
              <w:t>）</w:t>
            </w:r>
          </w:p>
        </w:tc>
        <w:tc>
          <w:tcPr>
            <w:tcW w:w="8505" w:type="dxa"/>
            <w:gridSpan w:val="3"/>
            <w:vAlign w:val="center"/>
          </w:tcPr>
          <w:p>
            <w:pPr>
              <w:tabs>
                <w:tab w:val="left" w:pos="993"/>
              </w:tabs>
              <w:spacing w:line="420" w:lineRule="exact"/>
              <w:rPr>
                <w:rFonts w:ascii="宋体" w:hAnsi="宋体" w:eastAsia="宋体"/>
                <w:color w:val="auto"/>
                <w:sz w:val="24"/>
                <w:szCs w:val="24"/>
              </w:rPr>
            </w:pPr>
            <w:r>
              <w:rPr>
                <w:rFonts w:hint="eastAsia" w:ascii="宋体" w:hAnsi="宋体" w:eastAsia="宋体" w:cs="宋体"/>
                <w:color w:val="auto"/>
                <w:sz w:val="24"/>
                <w:szCs w:val="24"/>
              </w:rPr>
              <w:t>其他需要说明的情况，可自行添加</w:t>
            </w:r>
          </w:p>
        </w:tc>
      </w:tr>
    </w:tbl>
    <w:p>
      <w:pPr>
        <w:kinsoku w:val="0"/>
        <w:topLinePunct/>
        <w:snapToGrid w:val="0"/>
        <w:spacing w:line="420" w:lineRule="exact"/>
        <w:rPr>
          <w:rFonts w:ascii="宋体" w:hAnsi="宋体" w:eastAsia="宋体" w:cs="宋体"/>
          <w:color w:val="auto"/>
          <w:sz w:val="24"/>
          <w:szCs w:val="24"/>
        </w:rPr>
      </w:pPr>
      <w:r>
        <w:rPr>
          <w:rFonts w:hint="eastAsia" w:ascii="宋体" w:hAnsi="宋体" w:eastAsia="宋体" w:cs="宋体"/>
          <w:color w:val="auto"/>
          <w:sz w:val="24"/>
          <w:szCs w:val="24"/>
        </w:rPr>
        <w:t>供应商：（盖章）</w:t>
      </w:r>
    </w:p>
    <w:p>
      <w:pPr>
        <w:kinsoku w:val="0"/>
        <w:topLinePunct/>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法定代表人或委托代理人（签字）：</w:t>
      </w:r>
    </w:p>
    <w:p>
      <w:pPr>
        <w:adjustRightInd w:val="0"/>
        <w:snapToGrid w:val="0"/>
        <w:spacing w:line="420" w:lineRule="exact"/>
        <w:jc w:val="left"/>
        <w:rPr>
          <w:rFonts w:ascii="宋体" w:hAnsi="宋体" w:eastAsia="宋体"/>
          <w:color w:val="auto"/>
          <w:sz w:val="24"/>
          <w:szCs w:val="24"/>
        </w:rPr>
      </w:pPr>
      <w:r>
        <w:rPr>
          <w:rFonts w:hint="eastAsia" w:ascii="宋体" w:hAnsi="宋体" w:eastAsia="宋体" w:cs="宋体"/>
          <w:color w:val="auto"/>
          <w:sz w:val="24"/>
          <w:szCs w:val="24"/>
        </w:rPr>
        <w:t>日期：</w:t>
      </w:r>
    </w:p>
    <w:p>
      <w:pPr>
        <w:adjustRightInd w:val="0"/>
        <w:snapToGrid w:val="0"/>
        <w:spacing w:line="420" w:lineRule="exact"/>
        <w:jc w:val="center"/>
        <w:rPr>
          <w:rFonts w:ascii="宋体" w:hAnsi="宋体" w:eastAsia="宋体"/>
          <w:color w:val="auto"/>
          <w:sz w:val="24"/>
          <w:szCs w:val="24"/>
        </w:rPr>
      </w:pPr>
      <w:r>
        <w:rPr>
          <w:rFonts w:hint="eastAsia" w:ascii="宋体" w:hAnsi="宋体" w:eastAsia="宋体" w:cs="宋体"/>
          <w:color w:val="auto"/>
          <w:sz w:val="24"/>
          <w:szCs w:val="24"/>
        </w:rPr>
        <w:t>注：本表不是格式化表格，供应商可根据需要，自行添加删除。</w:t>
      </w:r>
    </w:p>
    <w:p>
      <w:pPr>
        <w:adjustRightInd w:val="0"/>
        <w:snapToGrid w:val="0"/>
        <w:spacing w:line="420" w:lineRule="exact"/>
        <w:jc w:val="left"/>
        <w:rPr>
          <w:rFonts w:ascii="宋体" w:hAnsi="宋体" w:eastAsia="宋体"/>
          <w:color w:val="auto"/>
          <w:sz w:val="24"/>
          <w:szCs w:val="24"/>
        </w:rPr>
      </w:pPr>
    </w:p>
    <w:p>
      <w:pPr>
        <w:snapToGrid w:val="0"/>
        <w:spacing w:line="420" w:lineRule="exact"/>
        <w:outlineLvl w:val="2"/>
        <w:rPr>
          <w:rFonts w:ascii="宋体" w:hAnsi="宋体" w:eastAsia="宋体"/>
          <w:b/>
          <w:bCs/>
          <w:color w:val="auto"/>
          <w:sz w:val="24"/>
          <w:szCs w:val="24"/>
        </w:rPr>
      </w:pPr>
      <w:r>
        <w:rPr>
          <w:rFonts w:ascii="宋体" w:hAnsi="宋体" w:eastAsia="宋体" w:cs="宋体"/>
          <w:b/>
          <w:bCs/>
          <w:color w:val="auto"/>
          <w:sz w:val="24"/>
          <w:szCs w:val="24"/>
        </w:rPr>
        <w:t>B</w:t>
      </w:r>
      <w:r>
        <w:rPr>
          <w:rFonts w:hint="eastAsia" w:ascii="宋体" w:hAnsi="宋体" w:eastAsia="宋体" w:cs="宋体"/>
          <w:b/>
          <w:bCs/>
          <w:color w:val="auto"/>
          <w:sz w:val="24"/>
          <w:szCs w:val="24"/>
        </w:rPr>
        <w:t>、技术标文件</w:t>
      </w:r>
      <w:r>
        <w:rPr>
          <w:rFonts w:hint="eastAsia" w:ascii="宋体" w:hAnsi="宋体" w:eastAsia="宋体" w:cs="宋体"/>
          <w:color w:val="auto"/>
          <w:sz w:val="24"/>
          <w:szCs w:val="24"/>
        </w:rPr>
        <w:t>（一个密封包，内含：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snapToGrid w:val="0"/>
        <w:spacing w:beforeLines="100" w:line="420" w:lineRule="exact"/>
        <w:jc w:val="center"/>
        <w:outlineLvl w:val="3"/>
        <w:rPr>
          <w:rFonts w:ascii="宋体" w:hAnsi="宋体" w:eastAsia="宋体"/>
          <w:b/>
          <w:bCs/>
          <w:color w:val="auto"/>
          <w:sz w:val="24"/>
          <w:szCs w:val="24"/>
        </w:rPr>
      </w:pPr>
      <w:r>
        <w:rPr>
          <w:rFonts w:ascii="宋体" w:hAnsi="宋体" w:eastAsia="宋体" w:cs="宋体"/>
          <w:b/>
          <w:bCs/>
          <w:color w:val="auto"/>
          <w:sz w:val="24"/>
          <w:szCs w:val="24"/>
        </w:rPr>
        <w:t>1.</w:t>
      </w:r>
      <w:r>
        <w:rPr>
          <w:rFonts w:hint="eastAsia" w:ascii="宋体" w:hAnsi="宋体" w:eastAsia="宋体" w:cs="宋体"/>
          <w:b/>
          <w:bCs/>
          <w:color w:val="auto"/>
          <w:sz w:val="24"/>
          <w:szCs w:val="24"/>
        </w:rPr>
        <w:t>竞争性磋商响应函</w:t>
      </w:r>
    </w:p>
    <w:p>
      <w:pPr>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南通市老干部活动中心：</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依据贵单位（招标项目名称</w:t>
      </w:r>
      <w:r>
        <w:rPr>
          <w:rFonts w:ascii="宋体" w:hAnsi="宋体" w:eastAsia="宋体" w:cs="宋体"/>
          <w:color w:val="auto"/>
          <w:sz w:val="24"/>
          <w:szCs w:val="24"/>
        </w:rPr>
        <w:t>)</w:t>
      </w:r>
      <w:r>
        <w:rPr>
          <w:rFonts w:hint="eastAsia" w:ascii="宋体" w:hAnsi="宋体" w:eastAsia="宋体" w:cs="宋体"/>
          <w:color w:val="auto"/>
          <w:sz w:val="24"/>
          <w:szCs w:val="24"/>
        </w:rPr>
        <w:t>项目竞争性磋商的邀请，我方授权（姓名）（职务）为全权代表参加该项目的磋商响应工作，全权处理本次磋商的有关事宜。同时，我公司声明如下：</w:t>
      </w:r>
    </w:p>
    <w:p>
      <w:pPr>
        <w:snapToGrid w:val="0"/>
        <w:spacing w:line="420" w:lineRule="exact"/>
        <w:ind w:firstLine="494" w:firstLineChars="206"/>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我方愿意按照磋商文件的一切要求，提供完成该项目的全部内容，我方的磋商响应报价包括完成本项目所有的设计费、材料费、包装费、运输费、装卸费、员工工资、保险、管理费、利润、税金及合同实施过程中的不可预见等所有费用，即招标物交付使用的所有服务费用。</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）我方已经详细审查了全部磋商文件，我方已完全清晰理解磋商文件的要求，不存在任何含糊不清和误解之处，同意放弃对这些文件所提出的异议和质疑的权利。</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）我方承诺提供的磋商响应文件的有效期，从磋商响应文件接收截止之日算起，</w:t>
      </w:r>
      <w:r>
        <w:rPr>
          <w:rFonts w:ascii="宋体" w:hAnsi="宋体" w:eastAsia="宋体" w:cs="宋体"/>
          <w:color w:val="auto"/>
          <w:sz w:val="24"/>
          <w:szCs w:val="24"/>
        </w:rPr>
        <w:t>45</w:t>
      </w:r>
      <w:r>
        <w:rPr>
          <w:rFonts w:hint="eastAsia" w:ascii="宋体" w:hAnsi="宋体" w:eastAsia="宋体" w:cs="宋体"/>
          <w:color w:val="auto"/>
          <w:sz w:val="24"/>
          <w:szCs w:val="24"/>
        </w:rPr>
        <w:t>个日历天内保持有效。</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）我方愿意提供招标采购单位在磋商文件中要求的所有资料。</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）我方承诺在本次磋商响应中提供的一切文件，无论是原件还是复印件均真实有效，绝无任何虚假、伪造和夸大的成份。否则，愿承担相应的后果和法律责任。</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6</w:t>
      </w:r>
      <w:r>
        <w:rPr>
          <w:rFonts w:hint="eastAsia" w:ascii="宋体" w:hAnsi="宋体" w:eastAsia="宋体" w:cs="宋体"/>
          <w:color w:val="auto"/>
          <w:sz w:val="24"/>
          <w:szCs w:val="24"/>
        </w:rPr>
        <w:t>）我方尊重评审小组所作评定结果，同时也清楚理解到磋商报价最低并非意味着必定获得中标资格。</w:t>
      </w:r>
    </w:p>
    <w:p>
      <w:pPr>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7</w:t>
      </w:r>
      <w:r>
        <w:rPr>
          <w:rFonts w:hint="eastAsia" w:ascii="宋体" w:hAnsi="宋体" w:eastAsia="宋体" w:cs="宋体"/>
          <w:color w:val="auto"/>
          <w:sz w:val="24"/>
          <w:szCs w:val="24"/>
        </w:rPr>
        <w:t>）一旦我方成交，我方将根据磋商文件的规定，严格履行磋商文件中规定的每一项要求，按期、按质、按量履行合同的义务。</w:t>
      </w:r>
    </w:p>
    <w:p>
      <w:pPr>
        <w:snapToGrid w:val="0"/>
        <w:spacing w:line="420" w:lineRule="exact"/>
        <w:ind w:firstLine="2400" w:firstLineChars="1000"/>
        <w:jc w:val="right"/>
        <w:rPr>
          <w:rFonts w:ascii="宋体" w:hAnsi="宋体" w:eastAsia="宋体"/>
          <w:color w:val="auto"/>
          <w:sz w:val="24"/>
          <w:szCs w:val="24"/>
        </w:rPr>
      </w:pPr>
      <w:bookmarkStart w:id="12" w:name="_Hlk527940236"/>
      <w:r>
        <w:rPr>
          <w:rFonts w:hint="eastAsia" w:ascii="宋体" w:hAnsi="宋体" w:eastAsia="宋体" w:cs="宋体"/>
          <w:color w:val="auto"/>
          <w:sz w:val="24"/>
          <w:szCs w:val="24"/>
        </w:rPr>
        <w:t>供应商：（加盖公章）</w:t>
      </w:r>
    </w:p>
    <w:p>
      <w:pPr>
        <w:snapToGrid w:val="0"/>
        <w:spacing w:line="420" w:lineRule="exact"/>
        <w:ind w:firstLine="2400" w:firstLineChars="1000"/>
        <w:jc w:val="right"/>
        <w:rPr>
          <w:rFonts w:ascii="宋体" w:hAnsi="宋体" w:eastAsia="宋体"/>
          <w:color w:val="auto"/>
          <w:sz w:val="24"/>
          <w:szCs w:val="24"/>
        </w:rPr>
      </w:pPr>
      <w:r>
        <w:rPr>
          <w:rFonts w:hint="eastAsia" w:ascii="宋体" w:hAnsi="宋体" w:eastAsia="宋体" w:cs="宋体"/>
          <w:color w:val="auto"/>
          <w:sz w:val="24"/>
          <w:szCs w:val="24"/>
        </w:rPr>
        <w:t>法定代表人或委托代理人：（签字）</w:t>
      </w:r>
    </w:p>
    <w:p>
      <w:pPr>
        <w:snapToGrid w:val="0"/>
        <w:spacing w:line="420" w:lineRule="exact"/>
        <w:jc w:val="right"/>
        <w:rPr>
          <w:rFonts w:ascii="宋体" w:hAnsi="宋体" w:eastAsia="宋体"/>
          <w:color w:val="auto"/>
          <w:sz w:val="24"/>
          <w:szCs w:val="24"/>
        </w:rPr>
      </w:pPr>
      <w:r>
        <w:rPr>
          <w:rFonts w:hint="eastAsia" w:ascii="宋体" w:hAnsi="宋体" w:eastAsia="宋体" w:cs="宋体"/>
          <w:color w:val="auto"/>
          <w:sz w:val="24"/>
          <w:szCs w:val="24"/>
        </w:rPr>
        <w:t>二○二一年月日</w:t>
      </w:r>
    </w:p>
    <w:bookmarkEnd w:id="12"/>
    <w:p>
      <w:pPr>
        <w:spacing w:line="420" w:lineRule="exact"/>
        <w:ind w:firstLine="246" w:firstLineChars="102"/>
        <w:jc w:val="center"/>
        <w:rPr>
          <w:rFonts w:ascii="宋体" w:hAnsi="宋体" w:eastAsia="宋体"/>
          <w:b/>
          <w:bCs/>
          <w:color w:val="auto"/>
          <w:sz w:val="24"/>
          <w:szCs w:val="24"/>
        </w:rPr>
      </w:pPr>
    </w:p>
    <w:p>
      <w:pPr>
        <w:rPr>
          <w:color w:val="auto"/>
        </w:rPr>
      </w:pPr>
    </w:p>
    <w:p>
      <w:pPr>
        <w:spacing w:line="420" w:lineRule="exact"/>
        <w:rPr>
          <w:rFonts w:ascii="宋体" w:hAnsi="宋体" w:eastAsia="宋体"/>
          <w:b/>
          <w:bCs/>
          <w:color w:val="auto"/>
          <w:sz w:val="24"/>
          <w:szCs w:val="24"/>
        </w:rPr>
      </w:pPr>
    </w:p>
    <w:p>
      <w:pPr>
        <w:spacing w:line="420" w:lineRule="exact"/>
        <w:jc w:val="center"/>
        <w:rPr>
          <w:rFonts w:ascii="宋体" w:hAnsi="宋体" w:eastAsia="宋体"/>
          <w:color w:val="auto"/>
        </w:rPr>
      </w:pPr>
      <w:r>
        <w:rPr>
          <w:rFonts w:ascii="宋体" w:hAnsi="宋体" w:eastAsia="宋体" w:cs="宋体"/>
          <w:b/>
          <w:bCs/>
          <w:color w:val="auto"/>
          <w:sz w:val="24"/>
          <w:szCs w:val="24"/>
        </w:rPr>
        <w:t>2.</w:t>
      </w:r>
      <w:r>
        <w:rPr>
          <w:rFonts w:hint="eastAsia" w:ascii="宋体" w:hAnsi="宋体" w:eastAsia="宋体" w:cs="宋体"/>
          <w:b/>
          <w:bCs/>
          <w:color w:val="auto"/>
          <w:sz w:val="24"/>
          <w:szCs w:val="24"/>
        </w:rPr>
        <w:t>技术标评分涉及到的相关资料</w:t>
      </w:r>
    </w:p>
    <w:p>
      <w:pPr>
        <w:snapToGrid w:val="0"/>
        <w:spacing w:line="420" w:lineRule="exact"/>
        <w:outlineLvl w:val="2"/>
        <w:rPr>
          <w:rFonts w:ascii="宋体" w:hAnsi="宋体" w:eastAsia="宋体"/>
          <w:b/>
          <w:bCs/>
          <w:color w:val="auto"/>
          <w:sz w:val="24"/>
          <w:szCs w:val="24"/>
        </w:rPr>
      </w:pPr>
    </w:p>
    <w:p>
      <w:pPr>
        <w:snapToGrid w:val="0"/>
        <w:spacing w:line="420" w:lineRule="exact"/>
        <w:outlineLvl w:val="2"/>
        <w:rPr>
          <w:rFonts w:ascii="宋体" w:hAnsi="宋体" w:eastAsia="宋体"/>
          <w:b/>
          <w:bCs/>
          <w:color w:val="auto"/>
          <w:sz w:val="24"/>
          <w:szCs w:val="24"/>
        </w:rPr>
      </w:pPr>
    </w:p>
    <w:p>
      <w:pPr>
        <w:snapToGrid w:val="0"/>
        <w:spacing w:line="420" w:lineRule="exact"/>
        <w:outlineLvl w:val="2"/>
        <w:rPr>
          <w:rFonts w:ascii="宋体" w:hAnsi="宋体" w:eastAsia="宋体"/>
          <w:b/>
          <w:bCs/>
          <w:color w:val="auto"/>
          <w:sz w:val="24"/>
          <w:szCs w:val="24"/>
        </w:rPr>
      </w:pPr>
      <w:r>
        <w:rPr>
          <w:rFonts w:ascii="宋体" w:hAnsi="宋体" w:eastAsia="宋体"/>
          <w:b/>
          <w:bCs/>
          <w:color w:val="auto"/>
          <w:sz w:val="24"/>
          <w:szCs w:val="24"/>
        </w:rPr>
        <w:br w:type="page"/>
      </w:r>
    </w:p>
    <w:p>
      <w:pPr>
        <w:snapToGrid w:val="0"/>
        <w:spacing w:line="420" w:lineRule="exact"/>
        <w:outlineLvl w:val="2"/>
        <w:rPr>
          <w:rFonts w:ascii="宋体" w:hAnsi="宋体" w:eastAsia="宋体"/>
          <w:b/>
          <w:bCs/>
          <w:color w:val="auto"/>
          <w:sz w:val="24"/>
          <w:szCs w:val="24"/>
        </w:rPr>
      </w:pPr>
      <w:r>
        <w:rPr>
          <w:rFonts w:ascii="宋体" w:hAnsi="宋体" w:eastAsia="宋体" w:cs="宋体"/>
          <w:b/>
          <w:bCs/>
          <w:color w:val="auto"/>
          <w:sz w:val="24"/>
          <w:szCs w:val="24"/>
        </w:rPr>
        <w:t>C</w:t>
      </w:r>
      <w:r>
        <w:rPr>
          <w:rFonts w:hint="eastAsia" w:ascii="宋体" w:hAnsi="宋体" w:eastAsia="宋体" w:cs="宋体"/>
          <w:b/>
          <w:bCs/>
          <w:color w:val="auto"/>
          <w:sz w:val="24"/>
          <w:szCs w:val="24"/>
        </w:rPr>
        <w:t>、价格标文件</w:t>
      </w:r>
      <w:r>
        <w:rPr>
          <w:rFonts w:hint="eastAsia" w:ascii="宋体" w:hAnsi="宋体" w:eastAsia="宋体" w:cs="宋体"/>
          <w:color w:val="auto"/>
          <w:sz w:val="24"/>
          <w:szCs w:val="24"/>
        </w:rPr>
        <w:t>（一个密封包，内含：</w:t>
      </w:r>
      <w:r>
        <w:rPr>
          <w:rFonts w:ascii="宋体" w:hAnsi="宋体" w:eastAsia="宋体" w:cs="宋体"/>
          <w:color w:val="auto"/>
          <w:sz w:val="24"/>
          <w:szCs w:val="24"/>
        </w:rPr>
        <w:t>1</w:t>
      </w:r>
      <w:r>
        <w:rPr>
          <w:rFonts w:hint="eastAsia" w:ascii="宋体" w:hAnsi="宋体" w:eastAsia="宋体" w:cs="宋体"/>
          <w:color w:val="auto"/>
          <w:sz w:val="24"/>
          <w:szCs w:val="24"/>
        </w:rPr>
        <w:t>份“正本”和</w:t>
      </w:r>
      <w:r>
        <w:rPr>
          <w:rFonts w:ascii="宋体" w:hAnsi="宋体" w:eastAsia="宋体" w:cs="宋体"/>
          <w:color w:val="auto"/>
          <w:sz w:val="24"/>
          <w:szCs w:val="24"/>
        </w:rPr>
        <w:t>2</w:t>
      </w:r>
      <w:r>
        <w:rPr>
          <w:rFonts w:hint="eastAsia" w:ascii="宋体" w:hAnsi="宋体" w:eastAsia="宋体" w:cs="宋体"/>
          <w:color w:val="auto"/>
          <w:sz w:val="24"/>
          <w:szCs w:val="24"/>
        </w:rPr>
        <w:t>份“副本”。）</w:t>
      </w:r>
    </w:p>
    <w:p>
      <w:pPr>
        <w:snapToGrid w:val="0"/>
        <w:spacing w:beforeLines="100" w:line="420" w:lineRule="exact"/>
        <w:jc w:val="center"/>
        <w:outlineLvl w:val="3"/>
        <w:rPr>
          <w:rFonts w:ascii="宋体" w:hAnsi="宋体" w:eastAsia="宋体"/>
          <w:b/>
          <w:bCs/>
          <w:color w:val="auto"/>
          <w:sz w:val="24"/>
          <w:szCs w:val="24"/>
        </w:rPr>
      </w:pPr>
      <w:r>
        <w:rPr>
          <w:rFonts w:ascii="宋体" w:hAnsi="宋体" w:eastAsia="宋体" w:cs="宋体"/>
          <w:b/>
          <w:bCs/>
          <w:color w:val="auto"/>
          <w:sz w:val="24"/>
          <w:szCs w:val="24"/>
        </w:rPr>
        <w:t>1.</w:t>
      </w:r>
      <w:r>
        <w:rPr>
          <w:rFonts w:hint="eastAsia" w:ascii="宋体" w:hAnsi="宋体" w:eastAsia="宋体" w:cs="宋体"/>
          <w:b/>
          <w:bCs/>
          <w:color w:val="auto"/>
          <w:sz w:val="24"/>
          <w:szCs w:val="24"/>
        </w:rPr>
        <w:t>磋商响应报价（首次）总表（格式表）</w:t>
      </w:r>
    </w:p>
    <w:p>
      <w:pPr>
        <w:snapToGrid w:val="0"/>
        <w:spacing w:line="420" w:lineRule="exact"/>
        <w:jc w:val="left"/>
        <w:rPr>
          <w:rFonts w:ascii="宋体" w:hAnsi="宋体" w:eastAsia="宋体" w:cs="宋体"/>
          <w:color w:val="auto"/>
          <w:sz w:val="24"/>
          <w:szCs w:val="24"/>
        </w:rPr>
      </w:pPr>
      <w:r>
        <w:rPr>
          <w:rFonts w:hint="eastAsia" w:ascii="宋体" w:hAnsi="宋体" w:eastAsia="宋体" w:cs="宋体"/>
          <w:color w:val="auto"/>
          <w:sz w:val="24"/>
          <w:szCs w:val="24"/>
        </w:rPr>
        <w:t>项目名称：南通市老干部党性教育陈列展示馆设计施工项目</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234"/>
        <w:gridCol w:w="117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69" w:type="dxa"/>
            <w:vAlign w:val="center"/>
          </w:tcPr>
          <w:p>
            <w:pPr>
              <w:snapToGrid w:val="0"/>
              <w:spacing w:line="420" w:lineRule="exact"/>
              <w:ind w:left="1133" w:hanging="1132" w:hangingChars="472"/>
              <w:jc w:val="center"/>
              <w:rPr>
                <w:rFonts w:ascii="宋体" w:hAnsi="宋体" w:eastAsia="宋体"/>
                <w:color w:val="auto"/>
                <w:sz w:val="24"/>
                <w:szCs w:val="24"/>
              </w:rPr>
            </w:pPr>
            <w:r>
              <w:rPr>
                <w:rFonts w:hint="eastAsia" w:ascii="宋体" w:hAnsi="宋体" w:eastAsia="宋体" w:cs="宋体"/>
                <w:color w:val="auto"/>
                <w:sz w:val="24"/>
                <w:szCs w:val="24"/>
              </w:rPr>
              <w:t>项目名称</w:t>
            </w:r>
          </w:p>
        </w:tc>
        <w:tc>
          <w:tcPr>
            <w:tcW w:w="5670" w:type="dxa"/>
            <w:gridSpan w:val="3"/>
            <w:vAlign w:val="center"/>
          </w:tcPr>
          <w:p>
            <w:pPr>
              <w:snapToGrid w:val="0"/>
              <w:spacing w:line="420" w:lineRule="exact"/>
              <w:ind w:left="1133" w:hanging="1132" w:hangingChars="472"/>
              <w:jc w:val="center"/>
              <w:rPr>
                <w:rFonts w:ascii="宋体" w:hAnsi="宋体" w:eastAsia="宋体"/>
                <w:color w:val="auto"/>
                <w:sz w:val="24"/>
                <w:szCs w:val="24"/>
              </w:rPr>
            </w:pPr>
            <w:r>
              <w:rPr>
                <w:rFonts w:hint="eastAsia" w:ascii="宋体" w:hAnsi="宋体" w:eastAsia="宋体" w:cs="宋体"/>
                <w:color w:val="auto"/>
                <w:sz w:val="24"/>
                <w:szCs w:val="24"/>
              </w:rPr>
              <w:t>报价总价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69" w:type="dxa"/>
            <w:vAlign w:val="center"/>
          </w:tcPr>
          <w:p>
            <w:pPr>
              <w:snapToGrid w:val="0"/>
              <w:spacing w:line="420" w:lineRule="exact"/>
              <w:ind w:left="2"/>
              <w:rPr>
                <w:rFonts w:ascii="宋体" w:hAnsi="宋体" w:eastAsia="宋体"/>
                <w:color w:val="auto"/>
                <w:sz w:val="24"/>
                <w:szCs w:val="24"/>
              </w:rPr>
            </w:pPr>
            <w:r>
              <w:rPr>
                <w:rFonts w:hint="eastAsia" w:ascii="宋体" w:hAnsi="宋体" w:eastAsia="宋体" w:cs="宋体"/>
                <w:color w:val="auto"/>
                <w:sz w:val="24"/>
                <w:szCs w:val="24"/>
              </w:rPr>
              <w:t>南通市老干部党性教育陈列展示馆设计施工项目</w:t>
            </w:r>
          </w:p>
        </w:tc>
        <w:tc>
          <w:tcPr>
            <w:tcW w:w="5670" w:type="dxa"/>
            <w:gridSpan w:val="3"/>
            <w:vAlign w:val="center"/>
          </w:tcPr>
          <w:p>
            <w:pPr>
              <w:snapToGrid w:val="0"/>
              <w:spacing w:line="420" w:lineRule="exact"/>
              <w:ind w:left="1133" w:hanging="1132" w:hangingChars="472"/>
              <w:rPr>
                <w:rFonts w:ascii="宋体" w:hAnsi="宋体" w:eastAsia="宋体"/>
                <w:color w:val="auto"/>
                <w:sz w:val="24"/>
                <w:szCs w:val="24"/>
              </w:rPr>
            </w:pPr>
            <w:r>
              <w:rPr>
                <w:rFonts w:hint="eastAsia" w:ascii="宋体" w:hAnsi="宋体" w:eastAsia="宋体" w:cs="宋体"/>
                <w:color w:val="auto"/>
                <w:sz w:val="24"/>
                <w:szCs w:val="24"/>
              </w:rPr>
              <w:t>人民币大写：</w:t>
            </w:r>
          </w:p>
          <w:p>
            <w:pPr>
              <w:snapToGrid w:val="0"/>
              <w:spacing w:line="420" w:lineRule="exact"/>
              <w:ind w:left="1133" w:hanging="1132" w:hangingChars="472"/>
              <w:rPr>
                <w:rFonts w:ascii="宋体" w:hAnsi="宋体" w:eastAsia="宋体"/>
                <w:color w:val="auto"/>
                <w:sz w:val="24"/>
                <w:szCs w:val="24"/>
              </w:rPr>
            </w:pPr>
            <w:r>
              <w:rPr>
                <w:rFonts w:hint="eastAsia" w:ascii="宋体" w:hAnsi="宋体" w:eastAsia="宋体" w:cs="宋体"/>
                <w:color w:val="auto"/>
                <w:sz w:val="24"/>
                <w:szCs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969" w:type="dxa"/>
            <w:vAlign w:val="center"/>
          </w:tcPr>
          <w:p>
            <w:pPr>
              <w:snapToGrid w:val="0"/>
              <w:spacing w:line="420" w:lineRule="exact"/>
              <w:ind w:left="2"/>
              <w:rPr>
                <w:rFonts w:ascii="宋体" w:hAnsi="宋体" w:eastAsia="宋体"/>
                <w:color w:val="auto"/>
                <w:sz w:val="24"/>
                <w:szCs w:val="24"/>
              </w:rPr>
            </w:pPr>
            <w:r>
              <w:rPr>
                <w:rFonts w:hint="eastAsia" w:ascii="宋体" w:hAnsi="宋体" w:eastAsia="宋体" w:cs="宋体"/>
                <w:color w:val="auto"/>
                <w:sz w:val="24"/>
                <w:szCs w:val="24"/>
              </w:rPr>
              <w:t>商务付款条件</w:t>
            </w:r>
          </w:p>
        </w:tc>
        <w:tc>
          <w:tcPr>
            <w:tcW w:w="5670" w:type="dxa"/>
            <w:gridSpan w:val="3"/>
            <w:vAlign w:val="center"/>
          </w:tcPr>
          <w:p>
            <w:pPr>
              <w:snapToGrid w:val="0"/>
              <w:spacing w:line="420" w:lineRule="exact"/>
              <w:ind w:left="1133" w:hanging="1132" w:hangingChars="472"/>
              <w:rPr>
                <w:rFonts w:ascii="宋体" w:hAnsi="宋体" w:eastAsia="宋体"/>
                <w:color w:val="auto"/>
                <w:sz w:val="24"/>
                <w:szCs w:val="24"/>
              </w:rPr>
            </w:pPr>
            <w:r>
              <w:rPr>
                <w:rFonts w:hint="eastAsia" w:ascii="宋体" w:hAnsi="宋体" w:eastAsia="宋体" w:cs="宋体"/>
                <w:color w:val="auto"/>
                <w:sz w:val="24"/>
                <w:szCs w:val="24"/>
              </w:rPr>
              <w:t>完全接受并响应本项目竞争性磋商文件的要求。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203" w:type="dxa"/>
            <w:gridSpan w:val="2"/>
            <w:tcBorders>
              <w:top w:val="single" w:color="auto" w:sz="18"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olor w:val="auto"/>
                <w:sz w:val="24"/>
                <w:szCs w:val="24"/>
              </w:rPr>
            </w:pPr>
            <w:r>
              <w:rPr>
                <w:rFonts w:hint="eastAsia" w:ascii="宋体" w:hAnsi="宋体" w:eastAsia="宋体" w:cs="宋体"/>
                <w:color w:val="auto"/>
                <w:sz w:val="24"/>
                <w:szCs w:val="24"/>
              </w:rPr>
              <w:t>投标人（产品制造商）企业规模</w:t>
            </w:r>
          </w:p>
        </w:tc>
        <w:tc>
          <w:tcPr>
            <w:tcW w:w="4436" w:type="dxa"/>
            <w:gridSpan w:val="2"/>
            <w:tcBorders>
              <w:top w:val="single" w:color="auto" w:sz="18" w:space="0"/>
              <w:left w:val="double" w:color="auto" w:sz="4" w:space="0"/>
              <w:bottom w:val="double" w:color="auto" w:sz="4" w:space="0"/>
              <w:right w:val="double" w:color="auto" w:sz="4" w:space="0"/>
            </w:tcBorders>
            <w:noWrap/>
            <w:vAlign w:val="center"/>
          </w:tcPr>
          <w:p>
            <w:pPr>
              <w:snapToGrid w:val="0"/>
              <w:spacing w:line="420" w:lineRule="exact"/>
              <w:ind w:left="1133" w:hanging="1132" w:hangingChars="472"/>
              <w:rPr>
                <w:rFonts w:ascii="宋体" w:hAnsi="宋体" w:eastAsia="宋体"/>
                <w:color w:val="auto"/>
                <w:sz w:val="24"/>
                <w:szCs w:val="24"/>
              </w:rPr>
            </w:pPr>
            <w:r>
              <w:rPr>
                <w:rFonts w:hint="eastAsia" w:ascii="宋体" w:hAnsi="宋体" w:eastAsia="宋体" w:cs="宋体"/>
                <w:color w:val="auto"/>
                <w:sz w:val="24"/>
                <w:szCs w:val="24"/>
              </w:rPr>
              <w:t>请填写：小型、微型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203" w:type="dxa"/>
            <w:gridSpan w:val="2"/>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s="宋体"/>
                <w:color w:val="auto"/>
                <w:sz w:val="24"/>
                <w:szCs w:val="24"/>
              </w:rPr>
            </w:pPr>
            <w:r>
              <w:rPr>
                <w:rFonts w:hint="eastAsia" w:ascii="宋体" w:hAnsi="宋体" w:eastAsia="宋体" w:cs="宋体"/>
                <w:color w:val="auto"/>
                <w:sz w:val="24"/>
                <w:szCs w:val="24"/>
              </w:rPr>
              <w:t>扣除后评审价格</w:t>
            </w:r>
            <w:r>
              <w:rPr>
                <w:rFonts w:ascii="宋体" w:hAnsi="宋体" w:eastAsia="宋体" w:cs="宋体"/>
                <w:color w:val="auto"/>
                <w:sz w:val="24"/>
                <w:szCs w:val="24"/>
              </w:rPr>
              <w:t xml:space="preserve"> [</w:t>
            </w:r>
            <w:r>
              <w:rPr>
                <w:rFonts w:hint="eastAsia" w:ascii="宋体" w:hAnsi="宋体" w:eastAsia="宋体" w:cs="宋体"/>
                <w:color w:val="auto"/>
                <w:sz w:val="24"/>
                <w:szCs w:val="24"/>
              </w:rPr>
              <w:t>投标总价×</w:t>
            </w:r>
            <w:r>
              <w:rPr>
                <w:rFonts w:ascii="宋体" w:hAnsi="宋体" w:eastAsia="宋体" w:cs="宋体"/>
                <w:color w:val="auto"/>
                <w:sz w:val="24"/>
                <w:szCs w:val="24"/>
              </w:rPr>
              <w:t>90%]</w:t>
            </w:r>
          </w:p>
        </w:tc>
        <w:tc>
          <w:tcPr>
            <w:tcW w:w="4436" w:type="dxa"/>
            <w:gridSpan w:val="2"/>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944" w:hanging="944" w:hangingChars="472"/>
              <w:rPr>
                <w:rFonts w:ascii="宋体" w:hAnsi="宋体" w:eastAsia="宋体"/>
                <w:color w:val="auto"/>
                <w:sz w:val="24"/>
                <w:szCs w:val="24"/>
              </w:rPr>
            </w:pPr>
            <w:r>
              <w:rPr>
                <w:rFonts w:ascii="Arial" w:hAnsi="Arial" w:cs="Arial"/>
                <w:color w:val="auto"/>
                <w:sz w:val="20"/>
                <w:szCs w:val="20"/>
                <w:shd w:val="clear" w:color="auto" w:fill="FFFFFF"/>
              </w:rPr>
              <w:t>¥</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39" w:type="dxa"/>
            <w:gridSpan w:val="4"/>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jc w:val="center"/>
              <w:rPr>
                <w:rFonts w:ascii="宋体" w:hAnsi="宋体" w:eastAsia="宋体"/>
                <w:color w:val="auto"/>
                <w:sz w:val="24"/>
                <w:szCs w:val="24"/>
                <w:u w:val="thick" w:color="FF0000"/>
              </w:rPr>
            </w:pPr>
            <w:r>
              <w:rPr>
                <w:rFonts w:hint="eastAsia" w:ascii="宋体" w:hAnsi="宋体" w:eastAsia="宋体" w:cs="宋体"/>
                <w:color w:val="auto"/>
                <w:sz w:val="24"/>
                <w:szCs w:val="24"/>
              </w:rPr>
              <w:t>以下为项目中包含有多项货物（产品）满足价格扣除条件的，请填写，否则请勿填具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379" w:type="dxa"/>
            <w:gridSpan w:val="3"/>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olor w:val="auto"/>
                <w:sz w:val="21"/>
                <w:szCs w:val="21"/>
              </w:rPr>
            </w:pPr>
            <w:r>
              <w:rPr>
                <w:rFonts w:hint="eastAsia" w:ascii="宋体" w:hAnsi="宋体" w:eastAsia="宋体" w:cs="宋体"/>
                <w:color w:val="auto"/>
                <w:sz w:val="21"/>
                <w:szCs w:val="21"/>
              </w:rPr>
              <w:t>一个项目中包含多项货物（产品）满足价格扣除条件的，按其价格或价值累计扣除并汇总后的价格或价值计算后为</w:t>
            </w:r>
            <w:r>
              <w:rPr>
                <w:rFonts w:hint="eastAsia" w:ascii="宋体" w:hAnsi="宋体" w:eastAsia="宋体" w:cs="宋体"/>
                <w:color w:val="auto"/>
                <w:sz w:val="21"/>
                <w:szCs w:val="21"/>
                <w:u w:val="thick" w:color="FF0000"/>
              </w:rPr>
              <w:t>待评审扣除总价</w:t>
            </w:r>
            <w:r>
              <w:rPr>
                <w:rFonts w:hint="eastAsia" w:ascii="宋体" w:hAnsi="宋体" w:eastAsia="宋体" w:cs="宋体"/>
                <w:color w:val="auto"/>
                <w:sz w:val="21"/>
                <w:szCs w:val="21"/>
              </w:rPr>
              <w:t>。</w:t>
            </w:r>
          </w:p>
          <w:p>
            <w:pPr>
              <w:snapToGrid w:val="0"/>
              <w:spacing w:line="420" w:lineRule="exact"/>
              <w:ind w:left="2"/>
              <w:rPr>
                <w:rFonts w:ascii="宋体" w:hAnsi="宋体" w:eastAsia="宋体"/>
                <w:color w:val="auto"/>
                <w:sz w:val="21"/>
                <w:szCs w:val="21"/>
              </w:rPr>
            </w:pPr>
            <w:r>
              <w:rPr>
                <w:rFonts w:hint="eastAsia" w:ascii="宋体" w:hAnsi="宋体" w:eastAsia="宋体" w:cs="宋体"/>
                <w:color w:val="auto"/>
                <w:sz w:val="21"/>
                <w:szCs w:val="21"/>
              </w:rPr>
              <w:t>注：该项如有，请在右侧填写；同时，须在“投标响应报价明细表”中附涉及到的该部分产品明细及产品报价。</w:t>
            </w:r>
          </w:p>
        </w:tc>
        <w:tc>
          <w:tcPr>
            <w:tcW w:w="3260" w:type="dxa"/>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eastAsia="宋体" w:cs="宋体"/>
                <w:color w:val="auto"/>
                <w:sz w:val="24"/>
                <w:szCs w:val="24"/>
              </w:rPr>
            </w:pPr>
            <w:r>
              <w:rPr>
                <w:rFonts w:hint="eastAsia" w:ascii="宋体" w:hAnsi="宋体" w:eastAsia="宋体" w:cs="宋体"/>
                <w:color w:val="auto"/>
                <w:sz w:val="21"/>
                <w:szCs w:val="21"/>
              </w:rPr>
              <w:t>待评审扣除总价</w:t>
            </w:r>
            <w:r>
              <w:rPr>
                <w:rFonts w:ascii="Arial" w:hAnsi="Arial" w:cs="Arial"/>
                <w:color w:val="auto"/>
                <w:sz w:val="20"/>
                <w:szCs w:val="20"/>
                <w:shd w:val="clear" w:color="auto" w:fill="FFFFFF"/>
              </w:rPr>
              <w:t>¥</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379" w:type="dxa"/>
            <w:gridSpan w:val="3"/>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olor w:val="auto"/>
                <w:sz w:val="21"/>
                <w:szCs w:val="21"/>
              </w:rPr>
            </w:pPr>
            <w:r>
              <w:rPr>
                <w:rFonts w:hint="eastAsia" w:ascii="宋体" w:hAnsi="宋体" w:eastAsia="宋体" w:cs="宋体"/>
                <w:color w:val="auto"/>
                <w:sz w:val="21"/>
                <w:szCs w:val="21"/>
              </w:rPr>
              <w:t>扣除后评审价格</w:t>
            </w:r>
          </w:p>
          <w:p>
            <w:pPr>
              <w:snapToGrid w:val="0"/>
              <w:spacing w:line="420" w:lineRule="exact"/>
              <w:ind w:left="2"/>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eastAsia="宋体" w:cs="宋体"/>
                <w:color w:val="auto"/>
                <w:sz w:val="21"/>
                <w:szCs w:val="21"/>
              </w:rPr>
              <w:t>扣除后评审价格</w:t>
            </w:r>
            <w:r>
              <w:rPr>
                <w:rFonts w:ascii="宋体" w:hAnsi="宋体" w:eastAsia="宋体" w:cs="宋体"/>
                <w:color w:val="auto"/>
                <w:sz w:val="21"/>
                <w:szCs w:val="21"/>
              </w:rPr>
              <w:t>=</w:t>
            </w:r>
            <w:r>
              <w:rPr>
                <w:rFonts w:hint="eastAsia" w:ascii="宋体" w:hAnsi="宋体" w:eastAsia="宋体" w:cs="宋体"/>
                <w:color w:val="auto"/>
                <w:sz w:val="21"/>
                <w:szCs w:val="21"/>
              </w:rPr>
              <w:t>其他产品服务报价</w:t>
            </w:r>
            <w:r>
              <w:rPr>
                <w:rFonts w:ascii="宋体" w:hAnsi="宋体" w:eastAsia="宋体" w:cs="宋体"/>
                <w:color w:val="auto"/>
                <w:sz w:val="21"/>
                <w:szCs w:val="21"/>
              </w:rPr>
              <w:t>+</w:t>
            </w:r>
            <w:r>
              <w:rPr>
                <w:rFonts w:hint="eastAsia" w:ascii="宋体" w:hAnsi="宋体" w:eastAsia="宋体" w:cs="宋体"/>
                <w:color w:val="auto"/>
                <w:sz w:val="21"/>
                <w:szCs w:val="21"/>
              </w:rPr>
              <w:t>（待评审扣除总价×</w:t>
            </w:r>
            <w:r>
              <w:rPr>
                <w:rFonts w:ascii="宋体" w:hAnsi="宋体" w:eastAsia="宋体" w:cs="宋体"/>
                <w:color w:val="auto"/>
                <w:sz w:val="21"/>
                <w:szCs w:val="21"/>
              </w:rPr>
              <w:t>90%</w:t>
            </w:r>
            <w:r>
              <w:rPr>
                <w:rFonts w:hint="eastAsia" w:ascii="宋体" w:hAnsi="宋体" w:eastAsia="宋体" w:cs="宋体"/>
                <w:color w:val="auto"/>
                <w:sz w:val="21"/>
                <w:szCs w:val="21"/>
              </w:rPr>
              <w:t>）</w:t>
            </w:r>
            <w:r>
              <w:rPr>
                <w:rFonts w:ascii="宋体" w:hAnsi="宋体" w:eastAsia="宋体" w:cs="宋体"/>
                <w:color w:val="auto"/>
                <w:sz w:val="21"/>
                <w:szCs w:val="21"/>
              </w:rPr>
              <w:t>]</w:t>
            </w:r>
          </w:p>
        </w:tc>
        <w:tc>
          <w:tcPr>
            <w:tcW w:w="3260" w:type="dxa"/>
            <w:tcBorders>
              <w:top w:val="double" w:color="auto" w:sz="4" w:space="0"/>
              <w:left w:val="double" w:color="auto" w:sz="4" w:space="0"/>
              <w:bottom w:val="double" w:color="auto" w:sz="4" w:space="0"/>
              <w:right w:val="double" w:color="auto" w:sz="4" w:space="0"/>
            </w:tcBorders>
            <w:noWrap/>
            <w:vAlign w:val="center"/>
          </w:tcPr>
          <w:p>
            <w:pPr>
              <w:snapToGrid w:val="0"/>
              <w:spacing w:line="420" w:lineRule="exact"/>
              <w:ind w:left="2"/>
              <w:rPr>
                <w:rFonts w:ascii="宋体" w:hAnsi="宋体" w:eastAsia="宋体" w:cs="宋体"/>
                <w:color w:val="auto"/>
                <w:sz w:val="24"/>
                <w:szCs w:val="24"/>
              </w:rPr>
            </w:pPr>
            <w:r>
              <w:rPr>
                <w:rFonts w:ascii="Arial" w:hAnsi="Arial" w:cs="Arial"/>
                <w:color w:val="auto"/>
                <w:sz w:val="20"/>
                <w:szCs w:val="20"/>
                <w:shd w:val="clear" w:color="auto" w:fill="FFFFFF"/>
              </w:rPr>
              <w:t>¥</w:t>
            </w:r>
            <w:r>
              <w:rPr>
                <w:rFonts w:hint="eastAsia" w:ascii="宋体" w:hAnsi="宋体" w:eastAsia="宋体" w:cs="宋体"/>
                <w:color w:val="auto"/>
                <w:sz w:val="24"/>
                <w:szCs w:val="24"/>
              </w:rPr>
              <w:t>：</w:t>
            </w:r>
          </w:p>
        </w:tc>
      </w:tr>
    </w:tbl>
    <w:p>
      <w:pPr>
        <w:kinsoku w:val="0"/>
        <w:topLinePunct/>
        <w:snapToGrid w:val="0"/>
        <w:spacing w:line="420" w:lineRule="exact"/>
        <w:rPr>
          <w:rFonts w:ascii="宋体" w:hAnsi="宋体" w:eastAsia="宋体"/>
          <w:color w:val="auto"/>
          <w:sz w:val="24"/>
          <w:szCs w:val="24"/>
        </w:rPr>
      </w:pPr>
    </w:p>
    <w:p>
      <w:pPr>
        <w:kinsoku w:val="0"/>
        <w:topLinePunct/>
        <w:snapToGrid w:val="0"/>
        <w:spacing w:line="420" w:lineRule="exact"/>
        <w:rPr>
          <w:rFonts w:ascii="宋体" w:hAnsi="宋体" w:eastAsia="宋体" w:cs="宋体"/>
          <w:color w:val="auto"/>
          <w:sz w:val="24"/>
          <w:szCs w:val="24"/>
        </w:rPr>
      </w:pPr>
      <w:r>
        <w:rPr>
          <w:rFonts w:hint="eastAsia" w:ascii="宋体" w:hAnsi="宋体" w:eastAsia="宋体" w:cs="宋体"/>
          <w:color w:val="auto"/>
          <w:sz w:val="24"/>
          <w:szCs w:val="24"/>
        </w:rPr>
        <w:t>供应商：（盖章）</w:t>
      </w:r>
    </w:p>
    <w:p>
      <w:pPr>
        <w:kinsoku w:val="0"/>
        <w:topLinePunct/>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法定代表人或委托代理人（签字）：</w:t>
      </w:r>
    </w:p>
    <w:p>
      <w:pPr>
        <w:kinsoku w:val="0"/>
        <w:topLinePunct/>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日期：</w:t>
      </w:r>
    </w:p>
    <w:p>
      <w:pPr>
        <w:kinsoku w:val="0"/>
        <w:topLinePunct/>
        <w:snapToGrid w:val="0"/>
        <w:spacing w:line="420" w:lineRule="exact"/>
        <w:rPr>
          <w:rFonts w:ascii="宋体" w:hAnsi="宋体" w:eastAsia="宋体"/>
          <w:color w:val="auto"/>
          <w:sz w:val="24"/>
          <w:szCs w:val="24"/>
        </w:rPr>
      </w:pPr>
    </w:p>
    <w:p>
      <w:pPr>
        <w:snapToGrid w:val="0"/>
        <w:spacing w:line="420" w:lineRule="exact"/>
        <w:ind w:firstLine="496" w:firstLineChars="206"/>
        <w:rPr>
          <w:rFonts w:ascii="宋体" w:hAnsi="宋体" w:eastAsia="宋体"/>
          <w:b/>
          <w:bCs/>
          <w:color w:val="auto"/>
          <w:sz w:val="24"/>
          <w:szCs w:val="24"/>
        </w:rPr>
      </w:pPr>
      <w:r>
        <w:rPr>
          <w:rFonts w:hint="eastAsia" w:ascii="宋体" w:hAnsi="宋体" w:eastAsia="宋体" w:cs="宋体"/>
          <w:b/>
          <w:bCs/>
          <w:color w:val="auto"/>
          <w:sz w:val="24"/>
          <w:szCs w:val="24"/>
        </w:rPr>
        <w:t>注：</w:t>
      </w:r>
    </w:p>
    <w:p>
      <w:pPr>
        <w:snapToGrid w:val="0"/>
        <w:spacing w:line="420" w:lineRule="exact"/>
        <w:ind w:firstLine="494" w:firstLineChars="206"/>
        <w:rPr>
          <w:rFonts w:ascii="宋体" w:hAnsi="宋体" w:eastAsia="宋体"/>
          <w:color w:val="auto"/>
          <w:sz w:val="24"/>
          <w:szCs w:val="24"/>
          <w:u w:val="thick" w:color="FF0000"/>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）本表为格式表，不得改动，必须提供。</w:t>
      </w:r>
    </w:p>
    <w:p>
      <w:pPr>
        <w:snapToGrid w:val="0"/>
        <w:spacing w:line="420" w:lineRule="exact"/>
        <w:ind w:firstLine="494" w:firstLineChars="206"/>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）响应报价总表内的总价响应：按本竞争性磋商采购文件第二章第八条规定的内容执行。</w:t>
      </w:r>
    </w:p>
    <w:p>
      <w:pPr>
        <w:pStyle w:val="2"/>
        <w:spacing w:before="120"/>
        <w:ind w:firstLine="0" w:firstLineChars="0"/>
        <w:rPr>
          <w:rFonts w:ascii="宋体" w:hAnsi="宋体" w:eastAsia="宋体" w:cs="Times New Roman"/>
          <w:color w:val="auto"/>
        </w:rPr>
      </w:pPr>
      <w:r>
        <w:rPr>
          <w:rFonts w:hint="eastAsia" w:ascii="宋体" w:hAnsi="宋体" w:eastAsia="宋体" w:cs="宋体"/>
          <w:color w:val="auto"/>
        </w:rPr>
        <w:t xml:space="preserve">    （3）供应商认定本企业及提供货物的制造商为小型或微型企业，必须提供供应商（包括制造商）注册所在地经信部门出具的认定证明。</w:t>
      </w:r>
    </w:p>
    <w:p>
      <w:pPr>
        <w:pStyle w:val="2"/>
        <w:spacing w:before="120"/>
        <w:ind w:firstLine="0" w:firstLineChars="0"/>
        <w:rPr>
          <w:rFonts w:ascii="宋体" w:hAnsi="宋体" w:eastAsia="宋体" w:cs="Times New Roman"/>
          <w:color w:val="auto"/>
        </w:rPr>
      </w:pPr>
      <w:r>
        <w:rPr>
          <w:rFonts w:hint="eastAsia" w:ascii="宋体" w:hAnsi="宋体" w:eastAsia="宋体" w:cs="宋体"/>
          <w:color w:val="auto"/>
        </w:rPr>
        <w:t xml:space="preserve">    （4）关于“扣除后评审价格”的填写：根据认定标准，供应商如认定为小型或微型企业，扣除后评审价格为报价总价×</w:t>
      </w:r>
      <w:r>
        <w:rPr>
          <w:rFonts w:ascii="宋体" w:hAnsi="宋体" w:eastAsia="宋体" w:cs="宋体"/>
          <w:color w:val="auto"/>
        </w:rPr>
        <w:t>90%</w:t>
      </w:r>
      <w:r>
        <w:rPr>
          <w:rFonts w:hint="eastAsia" w:ascii="宋体" w:hAnsi="宋体" w:eastAsia="宋体" w:cs="宋体"/>
          <w:color w:val="auto"/>
        </w:rPr>
        <w:t>；否则扣除后评审价格填写总价的原价。</w:t>
      </w:r>
    </w:p>
    <w:p>
      <w:pPr>
        <w:pStyle w:val="2"/>
        <w:spacing w:before="120"/>
        <w:ind w:firstLine="0" w:firstLineChars="0"/>
        <w:rPr>
          <w:rFonts w:ascii="宋体" w:hAnsi="宋体" w:eastAsia="宋体" w:cs="Times New Roman"/>
          <w:color w:val="auto"/>
        </w:rPr>
      </w:pPr>
      <w:r>
        <w:rPr>
          <w:rFonts w:hint="eastAsia" w:ascii="宋体" w:hAnsi="宋体" w:eastAsia="宋体" w:cs="宋体"/>
          <w:color w:val="auto"/>
        </w:rPr>
        <w:t xml:space="preserve">    （5）小微企业提供中型企业制造或使用中型企业注册商标的货物的，视同为中型企业。小微企业提供大型企业制造或使用大型企业注册商标的货物的，视同为大型企业。</w:t>
      </w:r>
    </w:p>
    <w:p>
      <w:pPr>
        <w:pStyle w:val="2"/>
        <w:spacing w:before="120"/>
        <w:ind w:firstLine="0" w:firstLineChars="0"/>
        <w:rPr>
          <w:rFonts w:ascii="宋体" w:hAnsi="宋体" w:eastAsia="宋体" w:cs="Times New Roman"/>
          <w:color w:val="auto"/>
        </w:rPr>
      </w:pPr>
      <w:r>
        <w:rPr>
          <w:rFonts w:hint="eastAsia" w:ascii="宋体" w:hAnsi="宋体" w:eastAsia="宋体" w:cs="宋体"/>
          <w:color w:val="auto"/>
        </w:rPr>
        <w:t xml:space="preserve">    （6）一个项目中包含多项货物采购的，按其中可以认定为小微企业生产产品的价格或价值部分给予价格折扣。</w:t>
      </w: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宋体" w:hAnsi="宋体" w:eastAsia="宋体"/>
          <w:b/>
          <w:bCs/>
          <w:color w:val="auto"/>
          <w:sz w:val="24"/>
          <w:szCs w:val="24"/>
        </w:rPr>
      </w:pPr>
    </w:p>
    <w:p>
      <w:pPr>
        <w:snapToGrid w:val="0"/>
        <w:spacing w:beforeLines="100" w:line="420" w:lineRule="exact"/>
        <w:jc w:val="center"/>
        <w:outlineLvl w:val="3"/>
        <w:rPr>
          <w:rFonts w:ascii="仿宋_GB2312" w:hAnsi="宋体" w:eastAsia="仿宋_GB2312"/>
          <w:b/>
          <w:bCs/>
          <w:color w:val="auto"/>
          <w:sz w:val="24"/>
          <w:szCs w:val="24"/>
        </w:rPr>
      </w:pPr>
      <w:r>
        <w:rPr>
          <w:rFonts w:ascii="宋体" w:hAnsi="宋体" w:eastAsia="宋体" w:cs="宋体"/>
          <w:b/>
          <w:bCs/>
          <w:color w:val="auto"/>
          <w:sz w:val="24"/>
          <w:szCs w:val="24"/>
        </w:rPr>
        <w:t>2.</w:t>
      </w:r>
      <w:r>
        <w:rPr>
          <w:rFonts w:hint="eastAsia" w:ascii="宋体" w:hAnsi="宋体" w:eastAsia="宋体" w:cs="宋体"/>
          <w:b/>
          <w:bCs/>
          <w:color w:val="auto"/>
          <w:sz w:val="24"/>
          <w:szCs w:val="24"/>
        </w:rPr>
        <w:t>磋商响应报价明细表（格式自拟）</w:t>
      </w:r>
    </w:p>
    <w:p>
      <w:pPr>
        <w:snapToGrid w:val="0"/>
        <w:spacing w:line="420" w:lineRule="exact"/>
        <w:ind w:firstLine="494" w:firstLineChars="206"/>
        <w:rPr>
          <w:rFonts w:ascii="黑体" w:hAnsi="黑体" w:eastAsia="黑体"/>
          <w:color w:val="auto"/>
          <w:sz w:val="24"/>
          <w:szCs w:val="24"/>
        </w:rPr>
      </w:pPr>
    </w:p>
    <w:p>
      <w:pPr>
        <w:pStyle w:val="2"/>
        <w:spacing w:before="120"/>
        <w:ind w:firstLine="600"/>
        <w:rPr>
          <w:rFonts w:ascii="黑体" w:hAnsi="黑体" w:eastAsia="黑体" w:cs="Times New Roman"/>
          <w:color w:val="auto"/>
        </w:rPr>
      </w:pPr>
    </w:p>
    <w:p>
      <w:pPr>
        <w:pStyle w:val="2"/>
        <w:spacing w:before="120"/>
        <w:ind w:firstLine="600"/>
        <w:rPr>
          <w:rFonts w:ascii="黑体" w:hAnsi="黑体" w:eastAsia="黑体" w:cs="Times New Roman"/>
          <w:color w:val="auto"/>
        </w:rPr>
      </w:pPr>
    </w:p>
    <w:p>
      <w:pPr>
        <w:pStyle w:val="2"/>
        <w:spacing w:before="120"/>
        <w:ind w:firstLine="0" w:firstLineChars="0"/>
        <w:rPr>
          <w:rFonts w:ascii="黑体" w:hAnsi="黑体" w:eastAsia="黑体" w:cs="Times New Roman"/>
          <w:color w:val="auto"/>
        </w:rPr>
      </w:pPr>
    </w:p>
    <w:p>
      <w:pPr>
        <w:pStyle w:val="2"/>
        <w:spacing w:before="120"/>
        <w:ind w:firstLine="602"/>
        <w:jc w:val="left"/>
        <w:rPr>
          <w:rFonts w:ascii="黑体" w:hAnsi="黑体" w:eastAsia="黑体" w:cs="Times New Roman"/>
          <w:b/>
          <w:bCs/>
          <w:color w:val="auto"/>
        </w:rPr>
      </w:pPr>
    </w:p>
    <w:p>
      <w:pPr>
        <w:pStyle w:val="2"/>
        <w:spacing w:before="120"/>
        <w:ind w:firstLine="602"/>
        <w:jc w:val="left"/>
        <w:rPr>
          <w:rFonts w:ascii="黑体" w:hAnsi="黑体" w:eastAsia="黑体" w:cs="Times New Roman"/>
          <w:b/>
          <w:bCs/>
          <w:color w:val="auto"/>
        </w:rPr>
      </w:pPr>
    </w:p>
    <w:p>
      <w:pPr>
        <w:pStyle w:val="2"/>
        <w:spacing w:before="120"/>
        <w:ind w:firstLine="602"/>
        <w:jc w:val="left"/>
        <w:rPr>
          <w:rFonts w:ascii="黑体" w:hAnsi="黑体" w:eastAsia="黑体" w:cs="Times New Roman"/>
          <w:b/>
          <w:bCs/>
          <w:color w:val="auto"/>
        </w:rPr>
      </w:pPr>
    </w:p>
    <w:p>
      <w:pPr>
        <w:pStyle w:val="2"/>
        <w:spacing w:before="120"/>
        <w:ind w:firstLine="602"/>
        <w:jc w:val="left"/>
        <w:rPr>
          <w:rFonts w:ascii="黑体" w:hAnsi="黑体" w:eastAsia="黑体" w:cs="Times New Roman"/>
          <w:b/>
          <w:bCs/>
          <w:color w:val="auto"/>
        </w:rPr>
      </w:pPr>
    </w:p>
    <w:p>
      <w:pPr>
        <w:pStyle w:val="2"/>
        <w:spacing w:before="120"/>
        <w:ind w:firstLine="602"/>
        <w:jc w:val="left"/>
        <w:rPr>
          <w:rFonts w:ascii="黑体" w:hAnsi="黑体" w:eastAsia="黑体" w:cs="Times New Roman"/>
          <w:b/>
          <w:bCs/>
          <w:color w:val="auto"/>
        </w:rPr>
      </w:pPr>
    </w:p>
    <w:p>
      <w:pPr>
        <w:pStyle w:val="2"/>
        <w:spacing w:before="120"/>
        <w:ind w:firstLine="602"/>
        <w:jc w:val="left"/>
        <w:rPr>
          <w:rFonts w:ascii="黑体" w:hAnsi="黑体" w:eastAsia="黑体" w:cs="Times New Roman"/>
          <w:b/>
          <w:bCs/>
          <w:color w:val="auto"/>
        </w:rPr>
      </w:pPr>
    </w:p>
    <w:p>
      <w:pPr>
        <w:pStyle w:val="2"/>
        <w:spacing w:before="120"/>
        <w:ind w:firstLine="602"/>
        <w:jc w:val="left"/>
        <w:rPr>
          <w:rFonts w:ascii="黑体" w:hAnsi="黑体" w:eastAsia="黑体" w:cs="Times New Roman"/>
          <w:b/>
          <w:bCs/>
          <w:color w:val="auto"/>
        </w:rPr>
      </w:pPr>
    </w:p>
    <w:p>
      <w:pPr>
        <w:pStyle w:val="2"/>
        <w:spacing w:before="120"/>
        <w:ind w:firstLine="0" w:firstLineChars="0"/>
        <w:jc w:val="left"/>
        <w:rPr>
          <w:rFonts w:ascii="宋体" w:hAnsi="宋体" w:eastAsia="宋体" w:cs="宋体"/>
          <w:b/>
          <w:bCs/>
          <w:color w:val="auto"/>
        </w:rPr>
      </w:pPr>
    </w:p>
    <w:p>
      <w:pPr>
        <w:pStyle w:val="2"/>
        <w:spacing w:before="120"/>
        <w:ind w:firstLine="602"/>
        <w:jc w:val="center"/>
        <w:rPr>
          <w:rFonts w:ascii="宋体" w:hAnsi="宋体" w:eastAsia="宋体" w:cs="Times New Roman"/>
          <w:b/>
          <w:bCs/>
          <w:color w:val="auto"/>
        </w:rPr>
      </w:pPr>
      <w:r>
        <w:rPr>
          <w:rFonts w:ascii="宋体" w:hAnsi="宋体" w:eastAsia="宋体" w:cs="宋体"/>
          <w:b/>
          <w:bCs/>
          <w:color w:val="auto"/>
        </w:rPr>
        <w:br w:type="page"/>
      </w:r>
      <w:r>
        <w:rPr>
          <w:rFonts w:ascii="宋体" w:hAnsi="宋体" w:eastAsia="宋体" w:cs="宋体"/>
          <w:b/>
          <w:bCs/>
          <w:color w:val="auto"/>
        </w:rPr>
        <w:t>3</w:t>
      </w:r>
      <w:r>
        <w:rPr>
          <w:rFonts w:hint="eastAsia" w:ascii="宋体" w:hAnsi="宋体" w:eastAsia="宋体" w:cs="宋体"/>
          <w:b/>
          <w:bCs/>
          <w:color w:val="auto"/>
        </w:rPr>
        <w:t>.中小企业声明函</w:t>
      </w:r>
    </w:p>
    <w:p>
      <w:pPr>
        <w:pStyle w:val="2"/>
        <w:spacing w:before="120"/>
        <w:ind w:firstLine="600"/>
        <w:jc w:val="center"/>
        <w:rPr>
          <w:rFonts w:ascii="黑体" w:hAnsi="黑体" w:eastAsia="黑体" w:cs="Times New Roman"/>
          <w:color w:val="auto"/>
          <w:lang w:val="zh-CN"/>
        </w:rPr>
      </w:pPr>
    </w:p>
    <w:p>
      <w:pPr>
        <w:pStyle w:val="2"/>
        <w:spacing w:before="120"/>
        <w:ind w:firstLine="600"/>
        <w:jc w:val="center"/>
        <w:rPr>
          <w:rFonts w:ascii="黑体" w:hAnsi="黑体" w:eastAsia="黑体" w:cs="Times New Roman"/>
          <w:color w:val="auto"/>
          <w:lang w:val="zh-CN"/>
        </w:rPr>
      </w:pPr>
      <w:r>
        <w:rPr>
          <w:rFonts w:hint="eastAsia" w:ascii="黑体" w:hAnsi="黑体" w:eastAsia="黑体" w:cs="黑体"/>
          <w:color w:val="auto"/>
          <w:lang w:val="zh-CN"/>
        </w:rPr>
        <w:t>中小企业声明函</w:t>
      </w:r>
    </w:p>
    <w:p>
      <w:pPr>
        <w:kinsoku w:val="0"/>
        <w:topLinePunct/>
        <w:snapToGrid w:val="0"/>
        <w:spacing w:line="420" w:lineRule="exact"/>
        <w:rPr>
          <w:rFonts w:ascii="宋体" w:hAnsi="宋体" w:eastAsia="宋体"/>
          <w:color w:val="auto"/>
          <w:sz w:val="24"/>
          <w:szCs w:val="24"/>
        </w:rPr>
      </w:pPr>
      <w:r>
        <w:rPr>
          <w:rFonts w:hint="eastAsia" w:ascii="宋体" w:hAnsi="宋体" w:eastAsia="宋体" w:cs="宋体"/>
          <w:color w:val="auto"/>
          <w:sz w:val="24"/>
          <w:szCs w:val="24"/>
        </w:rPr>
        <w:t>南通市老干部活动中心：</w:t>
      </w:r>
    </w:p>
    <w:p>
      <w:pPr>
        <w:kinsoku w:val="0"/>
        <w:topLinePunct/>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本公司郑重声明，根据《政府采购促进中小企业发展暂行办法》（财库</w:t>
      </w:r>
      <w:r>
        <w:rPr>
          <w:rFonts w:ascii="宋体" w:hAnsi="宋体" w:eastAsia="宋体" w:cs="宋体"/>
          <w:color w:val="auto"/>
          <w:sz w:val="24"/>
          <w:szCs w:val="24"/>
        </w:rPr>
        <w:t>[2011]181</w:t>
      </w:r>
      <w:r>
        <w:rPr>
          <w:rFonts w:hint="eastAsia" w:ascii="宋体" w:hAnsi="宋体" w:eastAsia="宋体" w:cs="宋体"/>
          <w:color w:val="auto"/>
          <w:sz w:val="24"/>
          <w:szCs w:val="24"/>
        </w:rPr>
        <w:t>号）的规定，本公司为</w:t>
      </w:r>
      <w:bookmarkStart w:id="13" w:name="OLE_LINK5"/>
      <w:bookmarkStart w:id="14" w:name="OLE_LINK2"/>
      <w:r>
        <w:rPr>
          <w:rFonts w:hint="eastAsia" w:ascii="宋体" w:hAnsi="宋体" w:eastAsia="宋体" w:cs="宋体"/>
          <w:color w:val="auto"/>
          <w:sz w:val="24"/>
          <w:szCs w:val="24"/>
        </w:rPr>
        <w:t>（请填写：中型、小型、微型）企业</w:t>
      </w:r>
      <w:bookmarkEnd w:id="13"/>
      <w:bookmarkEnd w:id="14"/>
      <w:r>
        <w:rPr>
          <w:rFonts w:hint="eastAsia" w:ascii="宋体" w:hAnsi="宋体" w:eastAsia="宋体" w:cs="宋体"/>
          <w:color w:val="auto"/>
          <w:sz w:val="24"/>
          <w:szCs w:val="24"/>
        </w:rPr>
        <w:t>。即，本公司同时满足以下条件：</w:t>
      </w:r>
    </w:p>
    <w:p>
      <w:pPr>
        <w:kinsoku w:val="0"/>
        <w:topLinePunct/>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根据《工业和信息化部、国家统计局、国家发展和改革委员会、财政部关于印发中小企业划型标准规定的通知》（工信部联企业</w:t>
      </w:r>
      <w:r>
        <w:rPr>
          <w:rFonts w:ascii="宋体" w:hAnsi="宋体" w:eastAsia="宋体" w:cs="宋体"/>
          <w:color w:val="auto"/>
          <w:sz w:val="24"/>
          <w:szCs w:val="24"/>
        </w:rPr>
        <w:t>[2011]300</w:t>
      </w:r>
      <w:r>
        <w:rPr>
          <w:rFonts w:hint="eastAsia" w:ascii="宋体" w:hAnsi="宋体" w:eastAsia="宋体" w:cs="宋体"/>
          <w:color w:val="auto"/>
          <w:sz w:val="24"/>
          <w:szCs w:val="24"/>
        </w:rPr>
        <w:t>号）规定的划分标准，本公司为</w:t>
      </w:r>
      <w:r>
        <w:rPr>
          <w:rFonts w:ascii="宋体" w:hAnsi="宋体" w:eastAsia="宋体" w:cs="宋体"/>
          <w:color w:val="auto"/>
          <w:sz w:val="24"/>
          <w:szCs w:val="24"/>
        </w:rPr>
        <w:t>______</w:t>
      </w:r>
      <w:r>
        <w:rPr>
          <w:rFonts w:hint="eastAsia" w:ascii="宋体" w:hAnsi="宋体" w:eastAsia="宋体" w:cs="宋体"/>
          <w:color w:val="auto"/>
          <w:sz w:val="24"/>
          <w:szCs w:val="24"/>
        </w:rPr>
        <w:t>（请填写：中型、小型、微型）企业。</w:t>
      </w:r>
    </w:p>
    <w:p>
      <w:pPr>
        <w:kinsoku w:val="0"/>
        <w:topLinePunct/>
        <w:snapToGrid w:val="0"/>
        <w:spacing w:line="420" w:lineRule="exact"/>
        <w:ind w:firstLine="480" w:firstLineChars="200"/>
        <w:rPr>
          <w:rFonts w:ascii="宋体" w:hAnsi="宋体" w:eastAsia="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本公司参加（采购人名称）单位的（采购编号及项目名称）项目采购活动提供本企业制造的货物，由本企业承担工程、提供服务，或者提供其他</w:t>
      </w:r>
      <w:r>
        <w:rPr>
          <w:rFonts w:ascii="宋体" w:hAnsi="宋体" w:eastAsia="宋体" w:cs="宋体"/>
          <w:color w:val="auto"/>
          <w:sz w:val="24"/>
          <w:szCs w:val="24"/>
        </w:rPr>
        <w:t>______</w:t>
      </w:r>
      <w:r>
        <w:rPr>
          <w:rFonts w:hint="eastAsia" w:ascii="宋体" w:hAnsi="宋体" w:eastAsia="宋体" w:cs="宋体"/>
          <w:color w:val="auto"/>
          <w:sz w:val="24"/>
          <w:szCs w:val="24"/>
        </w:rPr>
        <w:t>（请填写：中型、小型、微型）企业制造的货物。本条所称货物不包括使用大型企业注册商标的货物。</w:t>
      </w:r>
    </w:p>
    <w:p>
      <w:pPr>
        <w:kinsoku w:val="0"/>
        <w:topLinePunct/>
        <w:snapToGrid w:val="0"/>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本公司对上述声明的真实性负责。如有虚假，将依法承担相应责任。</w:t>
      </w:r>
    </w:p>
    <w:p>
      <w:pPr>
        <w:kinsoku w:val="0"/>
        <w:topLinePunct/>
        <w:snapToGrid w:val="0"/>
        <w:spacing w:line="420" w:lineRule="exact"/>
        <w:ind w:firstLine="480" w:firstLineChars="200"/>
        <w:rPr>
          <w:rFonts w:ascii="宋体" w:hAnsi="宋体" w:eastAsia="宋体"/>
          <w:color w:val="auto"/>
          <w:sz w:val="24"/>
          <w:szCs w:val="24"/>
        </w:rPr>
      </w:pPr>
    </w:p>
    <w:p>
      <w:pPr>
        <w:kinsoku w:val="0"/>
        <w:topLinePunct/>
        <w:snapToGrid w:val="0"/>
        <w:spacing w:line="420" w:lineRule="exact"/>
        <w:ind w:firstLine="3360" w:firstLineChars="1400"/>
        <w:rPr>
          <w:rFonts w:ascii="宋体" w:hAnsi="宋体" w:eastAsia="宋体"/>
          <w:color w:val="auto"/>
          <w:sz w:val="24"/>
          <w:szCs w:val="24"/>
        </w:rPr>
      </w:pPr>
      <w:r>
        <w:rPr>
          <w:rFonts w:hint="eastAsia" w:ascii="宋体" w:hAnsi="宋体" w:eastAsia="宋体" w:cs="宋体"/>
          <w:color w:val="auto"/>
          <w:sz w:val="24"/>
          <w:szCs w:val="24"/>
        </w:rPr>
        <w:t>响应供应商：（单位盖章）</w:t>
      </w:r>
    </w:p>
    <w:p>
      <w:pPr>
        <w:kinsoku w:val="0"/>
        <w:topLinePunct/>
        <w:snapToGrid w:val="0"/>
        <w:spacing w:line="420" w:lineRule="exact"/>
        <w:ind w:firstLine="3360" w:firstLineChars="1400"/>
        <w:rPr>
          <w:rFonts w:ascii="宋体" w:hAnsi="宋体" w:eastAsia="宋体"/>
          <w:color w:val="auto"/>
          <w:sz w:val="24"/>
          <w:szCs w:val="24"/>
        </w:rPr>
      </w:pPr>
      <w:r>
        <w:rPr>
          <w:rFonts w:hint="eastAsia" w:ascii="宋体" w:hAnsi="宋体" w:eastAsia="宋体" w:cs="宋体"/>
          <w:color w:val="auto"/>
          <w:sz w:val="24"/>
          <w:szCs w:val="24"/>
        </w:rPr>
        <w:t>法定代表人或委托代理人：（签字或盖章）</w:t>
      </w:r>
    </w:p>
    <w:p>
      <w:pPr>
        <w:kinsoku w:val="0"/>
        <w:topLinePunct/>
        <w:snapToGrid w:val="0"/>
        <w:spacing w:line="420" w:lineRule="exact"/>
        <w:ind w:firstLine="3360" w:firstLineChars="1400"/>
        <w:rPr>
          <w:rFonts w:ascii="宋体" w:hAnsi="宋体" w:eastAsia="宋体"/>
          <w:color w:val="auto"/>
          <w:sz w:val="24"/>
          <w:szCs w:val="24"/>
        </w:rPr>
      </w:pPr>
      <w:r>
        <w:rPr>
          <w:rFonts w:hint="eastAsia" w:ascii="宋体" w:hAnsi="宋体" w:eastAsia="宋体" w:cs="宋体"/>
          <w:color w:val="auto"/>
          <w:sz w:val="24"/>
          <w:szCs w:val="24"/>
        </w:rPr>
        <w:t>日期：年月日</w:t>
      </w:r>
    </w:p>
    <w:p>
      <w:pPr>
        <w:spacing w:line="420" w:lineRule="exact"/>
        <w:rPr>
          <w:rFonts w:ascii="黑体" w:hAnsi="黑体" w:eastAsia="黑体"/>
          <w:color w:val="auto"/>
          <w:sz w:val="24"/>
          <w:szCs w:val="24"/>
        </w:rPr>
      </w:pPr>
    </w:p>
    <w:p>
      <w:pPr>
        <w:spacing w:line="420" w:lineRule="exact"/>
        <w:rPr>
          <w:rFonts w:ascii="宋体" w:hAnsi="宋体" w:eastAsia="宋体"/>
          <w:color w:val="auto"/>
          <w:sz w:val="24"/>
          <w:szCs w:val="24"/>
        </w:rPr>
      </w:pPr>
      <w:r>
        <w:rPr>
          <w:rFonts w:hint="eastAsia" w:ascii="宋体" w:hAnsi="宋体" w:eastAsia="宋体" w:cs="宋体"/>
          <w:color w:val="auto"/>
          <w:sz w:val="24"/>
          <w:szCs w:val="24"/>
        </w:rPr>
        <w:t>注：</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）中小企业划分标准以“工信部联企业〔</w:t>
      </w:r>
      <w:r>
        <w:rPr>
          <w:rFonts w:ascii="宋体" w:hAnsi="宋体" w:eastAsia="宋体" w:cs="宋体"/>
          <w:color w:val="auto"/>
          <w:sz w:val="24"/>
          <w:szCs w:val="24"/>
        </w:rPr>
        <w:t>2011</w:t>
      </w:r>
      <w:r>
        <w:rPr>
          <w:rFonts w:hint="eastAsia" w:ascii="宋体" w:hAnsi="宋体" w:eastAsia="宋体" w:cs="宋体"/>
          <w:color w:val="auto"/>
          <w:sz w:val="24"/>
          <w:szCs w:val="24"/>
        </w:rPr>
        <w:t>〕</w:t>
      </w:r>
      <w:r>
        <w:rPr>
          <w:rFonts w:ascii="宋体" w:hAnsi="宋体" w:eastAsia="宋体" w:cs="宋体"/>
          <w:color w:val="auto"/>
          <w:sz w:val="24"/>
          <w:szCs w:val="24"/>
        </w:rPr>
        <w:t>300</w:t>
      </w:r>
      <w:r>
        <w:rPr>
          <w:rFonts w:hint="eastAsia" w:ascii="宋体" w:hAnsi="宋体" w:eastAsia="宋体" w:cs="宋体"/>
          <w:color w:val="auto"/>
          <w:sz w:val="24"/>
          <w:szCs w:val="24"/>
        </w:rPr>
        <w:t>号通知中的《中小企业划型标准规定》为准。</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）投标人所在注册地经信部门出具的小微企业认定证明后应附本声明函。</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）须提供注册地经信部门出具的小微企业认定证明原件，以便核对。原件密封在“价格标响应文件”包内提供。未提供则不享受促进中小微企业发展的相关政府采购政策。</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）本函应当根据投标人以及产品（如有）不同制造商分别填报。</w:t>
      </w:r>
    </w:p>
    <w:p>
      <w:pPr>
        <w:spacing w:line="420" w:lineRule="exact"/>
        <w:ind w:firstLine="480" w:firstLineChars="200"/>
        <w:rPr>
          <w:rFonts w:ascii="宋体" w:hAnsi="宋体" w:eastAsia="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5</w:t>
      </w:r>
      <w:r>
        <w:rPr>
          <w:rFonts w:hint="eastAsia" w:ascii="宋体" w:hAnsi="宋体" w:eastAsia="宋体" w:cs="宋体"/>
          <w:color w:val="auto"/>
          <w:sz w:val="24"/>
          <w:szCs w:val="24"/>
        </w:rPr>
        <w:t>）一个项目中包含多项货物采购的，按其中可以认定为小微企业生产产品的价格或价值部分给予价格折扣。</w:t>
      </w:r>
    </w:p>
    <w:sectPr>
      <w:pgSz w:w="11906" w:h="16838"/>
      <w:pgMar w:top="1276" w:right="851" w:bottom="709" w:left="1418" w:header="851" w:footer="448"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Menl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uto"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Pr>
      <w:t>17</w:t>
    </w:r>
    <w:r>
      <w:rPr>
        <w:rStyle w:val="51"/>
      </w:rP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1</w:t>
    </w:r>
    <w:r>
      <w:rPr>
        <w:lang w:val="zh-CN"/>
      </w:rPr>
      <w:fldChar w:fldCharType="end"/>
    </w:r>
  </w:p>
  <w:p>
    <w:pPr>
      <w:pStyle w:val="30"/>
      <w:ind w:right="18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5C607"/>
    <w:multiLevelType w:val="singleLevel"/>
    <w:tmpl w:val="8235C607"/>
    <w:lvl w:ilvl="0" w:tentative="0">
      <w:start w:val="3"/>
      <w:numFmt w:val="chineseCounting"/>
      <w:suff w:val="space"/>
      <w:lvlText w:val="第%1章"/>
      <w:lvlJc w:val="left"/>
      <w:rPr>
        <w:rFonts w:hint="eastAsia"/>
      </w:rPr>
    </w:lvl>
  </w:abstractNum>
  <w:abstractNum w:abstractNumId="1">
    <w:nsid w:val="7A3633E2"/>
    <w:multiLevelType w:val="multilevel"/>
    <w:tmpl w:val="7A3633E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NotTrackMoves/>
  <w:documentProtection w:enforcement="0"/>
  <w:defaultTabStop w:val="425"/>
  <w:doNotHyphenateCaps/>
  <w:drawingGridHorizontalSpacing w:val="0"/>
  <w:drawingGridVerticalSpacing w:val="190"/>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34D5"/>
    <w:rsid w:val="000001B9"/>
    <w:rsid w:val="00002F17"/>
    <w:rsid w:val="00006330"/>
    <w:rsid w:val="0001091C"/>
    <w:rsid w:val="000238BA"/>
    <w:rsid w:val="00025B67"/>
    <w:rsid w:val="00032F65"/>
    <w:rsid w:val="0004017D"/>
    <w:rsid w:val="000463B8"/>
    <w:rsid w:val="00052D4E"/>
    <w:rsid w:val="00053567"/>
    <w:rsid w:val="00056254"/>
    <w:rsid w:val="00056CEC"/>
    <w:rsid w:val="00060C23"/>
    <w:rsid w:val="00062AD9"/>
    <w:rsid w:val="000635AD"/>
    <w:rsid w:val="00064425"/>
    <w:rsid w:val="000652CC"/>
    <w:rsid w:val="000720A4"/>
    <w:rsid w:val="00072AEC"/>
    <w:rsid w:val="0008029A"/>
    <w:rsid w:val="00082C94"/>
    <w:rsid w:val="000845FD"/>
    <w:rsid w:val="0008696A"/>
    <w:rsid w:val="000928F9"/>
    <w:rsid w:val="000A007E"/>
    <w:rsid w:val="000D0002"/>
    <w:rsid w:val="000E0FBE"/>
    <w:rsid w:val="000F22D1"/>
    <w:rsid w:val="000F30E7"/>
    <w:rsid w:val="001005C9"/>
    <w:rsid w:val="00101DD9"/>
    <w:rsid w:val="00102C3D"/>
    <w:rsid w:val="00102ECC"/>
    <w:rsid w:val="00104A46"/>
    <w:rsid w:val="00111408"/>
    <w:rsid w:val="001165B9"/>
    <w:rsid w:val="00140361"/>
    <w:rsid w:val="0014061B"/>
    <w:rsid w:val="00140D84"/>
    <w:rsid w:val="00147B35"/>
    <w:rsid w:val="00151D17"/>
    <w:rsid w:val="0015303E"/>
    <w:rsid w:val="00156C68"/>
    <w:rsid w:val="00157D95"/>
    <w:rsid w:val="00173276"/>
    <w:rsid w:val="0017338C"/>
    <w:rsid w:val="00174A3B"/>
    <w:rsid w:val="00184900"/>
    <w:rsid w:val="00186049"/>
    <w:rsid w:val="00193FC7"/>
    <w:rsid w:val="001A5228"/>
    <w:rsid w:val="001B3370"/>
    <w:rsid w:val="001C7FFB"/>
    <w:rsid w:val="001D1152"/>
    <w:rsid w:val="001E34A4"/>
    <w:rsid w:val="001E3986"/>
    <w:rsid w:val="001F5F74"/>
    <w:rsid w:val="002015CA"/>
    <w:rsid w:val="00216399"/>
    <w:rsid w:val="00220D04"/>
    <w:rsid w:val="0022790E"/>
    <w:rsid w:val="00231228"/>
    <w:rsid w:val="00231D63"/>
    <w:rsid w:val="0023591E"/>
    <w:rsid w:val="00235EDC"/>
    <w:rsid w:val="00236486"/>
    <w:rsid w:val="00236594"/>
    <w:rsid w:val="002368CE"/>
    <w:rsid w:val="0023759A"/>
    <w:rsid w:val="002406F3"/>
    <w:rsid w:val="002410BD"/>
    <w:rsid w:val="002424B1"/>
    <w:rsid w:val="002427FB"/>
    <w:rsid w:val="00246E64"/>
    <w:rsid w:val="0025475A"/>
    <w:rsid w:val="00254A20"/>
    <w:rsid w:val="0025711F"/>
    <w:rsid w:val="00273D52"/>
    <w:rsid w:val="002743CE"/>
    <w:rsid w:val="002764A5"/>
    <w:rsid w:val="00277D81"/>
    <w:rsid w:val="00281034"/>
    <w:rsid w:val="002872EA"/>
    <w:rsid w:val="002919C5"/>
    <w:rsid w:val="0029457E"/>
    <w:rsid w:val="00296FBC"/>
    <w:rsid w:val="002A7E5A"/>
    <w:rsid w:val="002B146B"/>
    <w:rsid w:val="002B189F"/>
    <w:rsid w:val="002B4FE6"/>
    <w:rsid w:val="002B6F04"/>
    <w:rsid w:val="002C15F1"/>
    <w:rsid w:val="002D645D"/>
    <w:rsid w:val="002E1FF1"/>
    <w:rsid w:val="002E6404"/>
    <w:rsid w:val="002F327B"/>
    <w:rsid w:val="002F47C5"/>
    <w:rsid w:val="002F5722"/>
    <w:rsid w:val="00301C74"/>
    <w:rsid w:val="00303246"/>
    <w:rsid w:val="0030343E"/>
    <w:rsid w:val="003056D5"/>
    <w:rsid w:val="003250E6"/>
    <w:rsid w:val="00330FCB"/>
    <w:rsid w:val="00346C5B"/>
    <w:rsid w:val="003519CD"/>
    <w:rsid w:val="00353F0D"/>
    <w:rsid w:val="00356968"/>
    <w:rsid w:val="0036730E"/>
    <w:rsid w:val="00372893"/>
    <w:rsid w:val="00377B00"/>
    <w:rsid w:val="00381EBC"/>
    <w:rsid w:val="00391E6E"/>
    <w:rsid w:val="0039337F"/>
    <w:rsid w:val="00394DF6"/>
    <w:rsid w:val="003957E3"/>
    <w:rsid w:val="003978D7"/>
    <w:rsid w:val="003A34C0"/>
    <w:rsid w:val="003A4698"/>
    <w:rsid w:val="003B021E"/>
    <w:rsid w:val="003B428E"/>
    <w:rsid w:val="003B69A2"/>
    <w:rsid w:val="003C5319"/>
    <w:rsid w:val="003D7406"/>
    <w:rsid w:val="003D7F09"/>
    <w:rsid w:val="003E056C"/>
    <w:rsid w:val="003E127C"/>
    <w:rsid w:val="003E7884"/>
    <w:rsid w:val="003F030E"/>
    <w:rsid w:val="003F0F7A"/>
    <w:rsid w:val="003F2C38"/>
    <w:rsid w:val="003F6EDB"/>
    <w:rsid w:val="003F7F33"/>
    <w:rsid w:val="004047C0"/>
    <w:rsid w:val="00405153"/>
    <w:rsid w:val="0040628C"/>
    <w:rsid w:val="00407BD5"/>
    <w:rsid w:val="0041481E"/>
    <w:rsid w:val="00414AD7"/>
    <w:rsid w:val="00417093"/>
    <w:rsid w:val="00420CC5"/>
    <w:rsid w:val="004423EA"/>
    <w:rsid w:val="00452D70"/>
    <w:rsid w:val="00454BE5"/>
    <w:rsid w:val="00455C9F"/>
    <w:rsid w:val="0045745D"/>
    <w:rsid w:val="004615C0"/>
    <w:rsid w:val="0046288F"/>
    <w:rsid w:val="00465684"/>
    <w:rsid w:val="00480109"/>
    <w:rsid w:val="00484F17"/>
    <w:rsid w:val="0048662B"/>
    <w:rsid w:val="0049108F"/>
    <w:rsid w:val="0049272A"/>
    <w:rsid w:val="00493820"/>
    <w:rsid w:val="00494CE2"/>
    <w:rsid w:val="004B49D7"/>
    <w:rsid w:val="004C1930"/>
    <w:rsid w:val="004C2075"/>
    <w:rsid w:val="004C3D44"/>
    <w:rsid w:val="004C5FD1"/>
    <w:rsid w:val="004C6E7E"/>
    <w:rsid w:val="004D298D"/>
    <w:rsid w:val="004D61BE"/>
    <w:rsid w:val="004F2813"/>
    <w:rsid w:val="004F738E"/>
    <w:rsid w:val="00506E5E"/>
    <w:rsid w:val="0052160A"/>
    <w:rsid w:val="0052494D"/>
    <w:rsid w:val="0053388E"/>
    <w:rsid w:val="0053454D"/>
    <w:rsid w:val="00535750"/>
    <w:rsid w:val="00537E77"/>
    <w:rsid w:val="005460A6"/>
    <w:rsid w:val="005467BB"/>
    <w:rsid w:val="00546B6D"/>
    <w:rsid w:val="00547804"/>
    <w:rsid w:val="00552F99"/>
    <w:rsid w:val="00556C9D"/>
    <w:rsid w:val="00562574"/>
    <w:rsid w:val="00562DAC"/>
    <w:rsid w:val="00567EB5"/>
    <w:rsid w:val="0057115B"/>
    <w:rsid w:val="00572C40"/>
    <w:rsid w:val="00576CEC"/>
    <w:rsid w:val="005825D9"/>
    <w:rsid w:val="00587589"/>
    <w:rsid w:val="00587E6C"/>
    <w:rsid w:val="00591278"/>
    <w:rsid w:val="00591C07"/>
    <w:rsid w:val="005A17C2"/>
    <w:rsid w:val="005B57AF"/>
    <w:rsid w:val="005C1385"/>
    <w:rsid w:val="005D3641"/>
    <w:rsid w:val="005E0E2B"/>
    <w:rsid w:val="005F17B1"/>
    <w:rsid w:val="005F7677"/>
    <w:rsid w:val="00600EFD"/>
    <w:rsid w:val="00601124"/>
    <w:rsid w:val="00617452"/>
    <w:rsid w:val="00622A66"/>
    <w:rsid w:val="00625432"/>
    <w:rsid w:val="00626B0D"/>
    <w:rsid w:val="006279D3"/>
    <w:rsid w:val="00632ABF"/>
    <w:rsid w:val="006410F0"/>
    <w:rsid w:val="0066592A"/>
    <w:rsid w:val="006668FF"/>
    <w:rsid w:val="006721E0"/>
    <w:rsid w:val="00672EB6"/>
    <w:rsid w:val="00675AB0"/>
    <w:rsid w:val="0068173F"/>
    <w:rsid w:val="00683A2C"/>
    <w:rsid w:val="00687D62"/>
    <w:rsid w:val="006A2DDC"/>
    <w:rsid w:val="006A4101"/>
    <w:rsid w:val="006B493F"/>
    <w:rsid w:val="006B711B"/>
    <w:rsid w:val="006C015D"/>
    <w:rsid w:val="006C58E7"/>
    <w:rsid w:val="006D27FA"/>
    <w:rsid w:val="006D334F"/>
    <w:rsid w:val="006D7059"/>
    <w:rsid w:val="006E0ADC"/>
    <w:rsid w:val="006E5F92"/>
    <w:rsid w:val="006E66B0"/>
    <w:rsid w:val="007007AC"/>
    <w:rsid w:val="00711862"/>
    <w:rsid w:val="0072154D"/>
    <w:rsid w:val="007252D3"/>
    <w:rsid w:val="0072787B"/>
    <w:rsid w:val="007324AD"/>
    <w:rsid w:val="007327CE"/>
    <w:rsid w:val="007372BA"/>
    <w:rsid w:val="007375A7"/>
    <w:rsid w:val="00740581"/>
    <w:rsid w:val="007444DD"/>
    <w:rsid w:val="00753C72"/>
    <w:rsid w:val="00760CA9"/>
    <w:rsid w:val="00761B25"/>
    <w:rsid w:val="0076372B"/>
    <w:rsid w:val="00763FE4"/>
    <w:rsid w:val="00767BFB"/>
    <w:rsid w:val="00771547"/>
    <w:rsid w:val="00776A83"/>
    <w:rsid w:val="00785124"/>
    <w:rsid w:val="007A02C4"/>
    <w:rsid w:val="007A0A27"/>
    <w:rsid w:val="007A5E4A"/>
    <w:rsid w:val="007B054B"/>
    <w:rsid w:val="007B4643"/>
    <w:rsid w:val="007C1850"/>
    <w:rsid w:val="007C61B3"/>
    <w:rsid w:val="007D526F"/>
    <w:rsid w:val="007E0AD6"/>
    <w:rsid w:val="007F0E26"/>
    <w:rsid w:val="007F3CDC"/>
    <w:rsid w:val="007F6691"/>
    <w:rsid w:val="008028B8"/>
    <w:rsid w:val="00810B7C"/>
    <w:rsid w:val="008177B0"/>
    <w:rsid w:val="00817B1C"/>
    <w:rsid w:val="00817C50"/>
    <w:rsid w:val="00821B44"/>
    <w:rsid w:val="00826C14"/>
    <w:rsid w:val="00827733"/>
    <w:rsid w:val="008327A3"/>
    <w:rsid w:val="008341DF"/>
    <w:rsid w:val="00835849"/>
    <w:rsid w:val="008447D7"/>
    <w:rsid w:val="0084730E"/>
    <w:rsid w:val="008617B0"/>
    <w:rsid w:val="00866FFB"/>
    <w:rsid w:val="00872AC9"/>
    <w:rsid w:val="00873231"/>
    <w:rsid w:val="0087757A"/>
    <w:rsid w:val="00890CEB"/>
    <w:rsid w:val="008A076F"/>
    <w:rsid w:val="008A1730"/>
    <w:rsid w:val="008A3ACD"/>
    <w:rsid w:val="008A5E8E"/>
    <w:rsid w:val="008B1D4A"/>
    <w:rsid w:val="008B26AB"/>
    <w:rsid w:val="008B4D3E"/>
    <w:rsid w:val="008B7501"/>
    <w:rsid w:val="008B7F0B"/>
    <w:rsid w:val="008D300A"/>
    <w:rsid w:val="008E0E80"/>
    <w:rsid w:val="008E659E"/>
    <w:rsid w:val="008F4EEE"/>
    <w:rsid w:val="009029AD"/>
    <w:rsid w:val="00907DDF"/>
    <w:rsid w:val="0091153B"/>
    <w:rsid w:val="00912B25"/>
    <w:rsid w:val="00915C70"/>
    <w:rsid w:val="00917058"/>
    <w:rsid w:val="00922387"/>
    <w:rsid w:val="00922785"/>
    <w:rsid w:val="0092367E"/>
    <w:rsid w:val="00925865"/>
    <w:rsid w:val="0092760D"/>
    <w:rsid w:val="00931B96"/>
    <w:rsid w:val="009476CB"/>
    <w:rsid w:val="00961A26"/>
    <w:rsid w:val="00963B8D"/>
    <w:rsid w:val="00966152"/>
    <w:rsid w:val="009745DC"/>
    <w:rsid w:val="00985721"/>
    <w:rsid w:val="009A1A7D"/>
    <w:rsid w:val="009B415F"/>
    <w:rsid w:val="009B5D2C"/>
    <w:rsid w:val="009C1F8B"/>
    <w:rsid w:val="009D4151"/>
    <w:rsid w:val="009E75CD"/>
    <w:rsid w:val="009E79FB"/>
    <w:rsid w:val="009F108F"/>
    <w:rsid w:val="009F1961"/>
    <w:rsid w:val="009F19C2"/>
    <w:rsid w:val="009F4ED7"/>
    <w:rsid w:val="009F5FD9"/>
    <w:rsid w:val="00A1525C"/>
    <w:rsid w:val="00A156B6"/>
    <w:rsid w:val="00A24753"/>
    <w:rsid w:val="00A25F4B"/>
    <w:rsid w:val="00A27EDF"/>
    <w:rsid w:val="00A3316B"/>
    <w:rsid w:val="00A50E8D"/>
    <w:rsid w:val="00A7465C"/>
    <w:rsid w:val="00A761B2"/>
    <w:rsid w:val="00A806E0"/>
    <w:rsid w:val="00A8608C"/>
    <w:rsid w:val="00A92987"/>
    <w:rsid w:val="00A95989"/>
    <w:rsid w:val="00AA0CB0"/>
    <w:rsid w:val="00AA44B5"/>
    <w:rsid w:val="00AA607D"/>
    <w:rsid w:val="00AA6F9E"/>
    <w:rsid w:val="00AB0E54"/>
    <w:rsid w:val="00AB516B"/>
    <w:rsid w:val="00AB53DC"/>
    <w:rsid w:val="00AC2A34"/>
    <w:rsid w:val="00AC6E8F"/>
    <w:rsid w:val="00AD365E"/>
    <w:rsid w:val="00AD4508"/>
    <w:rsid w:val="00AE3E5A"/>
    <w:rsid w:val="00AE5F3A"/>
    <w:rsid w:val="00AF1F5C"/>
    <w:rsid w:val="00AF337A"/>
    <w:rsid w:val="00AF502A"/>
    <w:rsid w:val="00B02BBF"/>
    <w:rsid w:val="00B03334"/>
    <w:rsid w:val="00B11F57"/>
    <w:rsid w:val="00B15FC4"/>
    <w:rsid w:val="00B248BC"/>
    <w:rsid w:val="00B32E4D"/>
    <w:rsid w:val="00B3526E"/>
    <w:rsid w:val="00B35945"/>
    <w:rsid w:val="00B46C3D"/>
    <w:rsid w:val="00B476B8"/>
    <w:rsid w:val="00B55480"/>
    <w:rsid w:val="00B65035"/>
    <w:rsid w:val="00B73455"/>
    <w:rsid w:val="00B81904"/>
    <w:rsid w:val="00B81FD8"/>
    <w:rsid w:val="00B85A7D"/>
    <w:rsid w:val="00B85D49"/>
    <w:rsid w:val="00B97943"/>
    <w:rsid w:val="00BA50D5"/>
    <w:rsid w:val="00BA60AC"/>
    <w:rsid w:val="00BA7566"/>
    <w:rsid w:val="00BB093F"/>
    <w:rsid w:val="00BB6C9E"/>
    <w:rsid w:val="00BB709F"/>
    <w:rsid w:val="00BC072C"/>
    <w:rsid w:val="00BC2A9E"/>
    <w:rsid w:val="00BC6392"/>
    <w:rsid w:val="00BC7AC2"/>
    <w:rsid w:val="00BE011E"/>
    <w:rsid w:val="00BE2AF5"/>
    <w:rsid w:val="00BE7DC6"/>
    <w:rsid w:val="00C022D4"/>
    <w:rsid w:val="00C04031"/>
    <w:rsid w:val="00C14558"/>
    <w:rsid w:val="00C14D2C"/>
    <w:rsid w:val="00C16D53"/>
    <w:rsid w:val="00C24D0D"/>
    <w:rsid w:val="00C24D11"/>
    <w:rsid w:val="00C26F26"/>
    <w:rsid w:val="00C37A10"/>
    <w:rsid w:val="00C403CE"/>
    <w:rsid w:val="00C4648B"/>
    <w:rsid w:val="00C47B59"/>
    <w:rsid w:val="00C51504"/>
    <w:rsid w:val="00C5581B"/>
    <w:rsid w:val="00C606C2"/>
    <w:rsid w:val="00C60A00"/>
    <w:rsid w:val="00C63C8D"/>
    <w:rsid w:val="00C67AE4"/>
    <w:rsid w:val="00C67B3D"/>
    <w:rsid w:val="00C83830"/>
    <w:rsid w:val="00C97730"/>
    <w:rsid w:val="00C97B03"/>
    <w:rsid w:val="00CA12E9"/>
    <w:rsid w:val="00CA2A9D"/>
    <w:rsid w:val="00CA5A0A"/>
    <w:rsid w:val="00CA700E"/>
    <w:rsid w:val="00CB1467"/>
    <w:rsid w:val="00CC0727"/>
    <w:rsid w:val="00CC2CDB"/>
    <w:rsid w:val="00CD116B"/>
    <w:rsid w:val="00CD1692"/>
    <w:rsid w:val="00CD6E08"/>
    <w:rsid w:val="00CE2303"/>
    <w:rsid w:val="00CF2616"/>
    <w:rsid w:val="00CF2ED9"/>
    <w:rsid w:val="00CF5C22"/>
    <w:rsid w:val="00D12A51"/>
    <w:rsid w:val="00D44107"/>
    <w:rsid w:val="00D44E7C"/>
    <w:rsid w:val="00D46ECE"/>
    <w:rsid w:val="00D55115"/>
    <w:rsid w:val="00D67535"/>
    <w:rsid w:val="00D67F75"/>
    <w:rsid w:val="00D729D3"/>
    <w:rsid w:val="00D7483C"/>
    <w:rsid w:val="00D95445"/>
    <w:rsid w:val="00D95B6D"/>
    <w:rsid w:val="00D95B87"/>
    <w:rsid w:val="00DA59DC"/>
    <w:rsid w:val="00DB5FD4"/>
    <w:rsid w:val="00DB7628"/>
    <w:rsid w:val="00DC34A3"/>
    <w:rsid w:val="00DC4C40"/>
    <w:rsid w:val="00DC6188"/>
    <w:rsid w:val="00DD7701"/>
    <w:rsid w:val="00DE0B2C"/>
    <w:rsid w:val="00DE1752"/>
    <w:rsid w:val="00DE4A5C"/>
    <w:rsid w:val="00DE5D87"/>
    <w:rsid w:val="00DE7894"/>
    <w:rsid w:val="00E01851"/>
    <w:rsid w:val="00E020B7"/>
    <w:rsid w:val="00E03AE6"/>
    <w:rsid w:val="00E04CF4"/>
    <w:rsid w:val="00E074A2"/>
    <w:rsid w:val="00E07E71"/>
    <w:rsid w:val="00E1664D"/>
    <w:rsid w:val="00E24C15"/>
    <w:rsid w:val="00E36CCB"/>
    <w:rsid w:val="00E405B2"/>
    <w:rsid w:val="00E43161"/>
    <w:rsid w:val="00E46299"/>
    <w:rsid w:val="00E4635A"/>
    <w:rsid w:val="00E46BB1"/>
    <w:rsid w:val="00E534D5"/>
    <w:rsid w:val="00E56F3C"/>
    <w:rsid w:val="00E57122"/>
    <w:rsid w:val="00E6166E"/>
    <w:rsid w:val="00E63804"/>
    <w:rsid w:val="00E6549A"/>
    <w:rsid w:val="00E72C7D"/>
    <w:rsid w:val="00E90101"/>
    <w:rsid w:val="00E94386"/>
    <w:rsid w:val="00E96B06"/>
    <w:rsid w:val="00EA1DAF"/>
    <w:rsid w:val="00EE0FAE"/>
    <w:rsid w:val="00EE73DF"/>
    <w:rsid w:val="00EF0726"/>
    <w:rsid w:val="00EF42F3"/>
    <w:rsid w:val="00F00BBC"/>
    <w:rsid w:val="00F01764"/>
    <w:rsid w:val="00F02484"/>
    <w:rsid w:val="00F106B5"/>
    <w:rsid w:val="00F124FB"/>
    <w:rsid w:val="00F16C49"/>
    <w:rsid w:val="00F17488"/>
    <w:rsid w:val="00F208F8"/>
    <w:rsid w:val="00F26DFD"/>
    <w:rsid w:val="00F27746"/>
    <w:rsid w:val="00F34C85"/>
    <w:rsid w:val="00F360CA"/>
    <w:rsid w:val="00F360F7"/>
    <w:rsid w:val="00F4574E"/>
    <w:rsid w:val="00F47172"/>
    <w:rsid w:val="00F500C3"/>
    <w:rsid w:val="00F611E3"/>
    <w:rsid w:val="00F64B88"/>
    <w:rsid w:val="00F663B7"/>
    <w:rsid w:val="00F742DF"/>
    <w:rsid w:val="00F746C3"/>
    <w:rsid w:val="00F80033"/>
    <w:rsid w:val="00F80A4A"/>
    <w:rsid w:val="00F876BF"/>
    <w:rsid w:val="00F87A93"/>
    <w:rsid w:val="00F90018"/>
    <w:rsid w:val="00FA1677"/>
    <w:rsid w:val="00FA30D4"/>
    <w:rsid w:val="00FA3365"/>
    <w:rsid w:val="00FA33E3"/>
    <w:rsid w:val="00FB53F9"/>
    <w:rsid w:val="00FD097D"/>
    <w:rsid w:val="00FD23EF"/>
    <w:rsid w:val="00FD7C15"/>
    <w:rsid w:val="00FE3EA0"/>
    <w:rsid w:val="00FF0214"/>
    <w:rsid w:val="014C17CD"/>
    <w:rsid w:val="0170074F"/>
    <w:rsid w:val="017824C2"/>
    <w:rsid w:val="01B2491C"/>
    <w:rsid w:val="021036A6"/>
    <w:rsid w:val="02895549"/>
    <w:rsid w:val="031134D7"/>
    <w:rsid w:val="03331A50"/>
    <w:rsid w:val="03AC51E9"/>
    <w:rsid w:val="03EB3FD6"/>
    <w:rsid w:val="0405420F"/>
    <w:rsid w:val="048E529C"/>
    <w:rsid w:val="049923C7"/>
    <w:rsid w:val="04B9743D"/>
    <w:rsid w:val="04E04BB5"/>
    <w:rsid w:val="05053370"/>
    <w:rsid w:val="051042CC"/>
    <w:rsid w:val="05263E39"/>
    <w:rsid w:val="05DF3722"/>
    <w:rsid w:val="060B2BAA"/>
    <w:rsid w:val="06E64BEE"/>
    <w:rsid w:val="071D5B5B"/>
    <w:rsid w:val="07751AAB"/>
    <w:rsid w:val="08286495"/>
    <w:rsid w:val="08574294"/>
    <w:rsid w:val="08961683"/>
    <w:rsid w:val="08FD0FA4"/>
    <w:rsid w:val="0B2027CC"/>
    <w:rsid w:val="0B6F5760"/>
    <w:rsid w:val="0B9F492D"/>
    <w:rsid w:val="0BBD701C"/>
    <w:rsid w:val="0C877480"/>
    <w:rsid w:val="0C8F7FBB"/>
    <w:rsid w:val="0CB85C3D"/>
    <w:rsid w:val="0D2F6453"/>
    <w:rsid w:val="0DE932EF"/>
    <w:rsid w:val="0EF363A3"/>
    <w:rsid w:val="0F2C64BB"/>
    <w:rsid w:val="0FCD3B80"/>
    <w:rsid w:val="105C2241"/>
    <w:rsid w:val="10637478"/>
    <w:rsid w:val="10803EE5"/>
    <w:rsid w:val="10DB6350"/>
    <w:rsid w:val="118D2AB9"/>
    <w:rsid w:val="12077907"/>
    <w:rsid w:val="120B79FB"/>
    <w:rsid w:val="12D0114A"/>
    <w:rsid w:val="13065281"/>
    <w:rsid w:val="13860218"/>
    <w:rsid w:val="13CB5364"/>
    <w:rsid w:val="14D50269"/>
    <w:rsid w:val="14E663FD"/>
    <w:rsid w:val="14EB3E69"/>
    <w:rsid w:val="159B7FE9"/>
    <w:rsid w:val="16422F19"/>
    <w:rsid w:val="16780311"/>
    <w:rsid w:val="168D3B61"/>
    <w:rsid w:val="17DC3EEA"/>
    <w:rsid w:val="187F5C52"/>
    <w:rsid w:val="18B22BC0"/>
    <w:rsid w:val="18B71D2B"/>
    <w:rsid w:val="18C33505"/>
    <w:rsid w:val="18E91820"/>
    <w:rsid w:val="192115E6"/>
    <w:rsid w:val="19300986"/>
    <w:rsid w:val="1AD37034"/>
    <w:rsid w:val="1ADF3B56"/>
    <w:rsid w:val="1B0E437B"/>
    <w:rsid w:val="1BF26FF6"/>
    <w:rsid w:val="1C4B444F"/>
    <w:rsid w:val="1C677396"/>
    <w:rsid w:val="1CF02DAE"/>
    <w:rsid w:val="1CF1026D"/>
    <w:rsid w:val="1D547D73"/>
    <w:rsid w:val="1D881635"/>
    <w:rsid w:val="1DF37B05"/>
    <w:rsid w:val="1E913B48"/>
    <w:rsid w:val="1EF36D5F"/>
    <w:rsid w:val="1F2F6639"/>
    <w:rsid w:val="1F36444C"/>
    <w:rsid w:val="1F3C5CAC"/>
    <w:rsid w:val="1F664288"/>
    <w:rsid w:val="1FDD68B4"/>
    <w:rsid w:val="200221E5"/>
    <w:rsid w:val="20500E2D"/>
    <w:rsid w:val="20D772CD"/>
    <w:rsid w:val="21142FBC"/>
    <w:rsid w:val="21881F28"/>
    <w:rsid w:val="21AB1591"/>
    <w:rsid w:val="22B72C03"/>
    <w:rsid w:val="23AB3F03"/>
    <w:rsid w:val="24681C0E"/>
    <w:rsid w:val="248C50E9"/>
    <w:rsid w:val="249949ED"/>
    <w:rsid w:val="25B10E43"/>
    <w:rsid w:val="25CA52AA"/>
    <w:rsid w:val="25E66A6F"/>
    <w:rsid w:val="25EF2AA0"/>
    <w:rsid w:val="2632419F"/>
    <w:rsid w:val="265926DC"/>
    <w:rsid w:val="273405D2"/>
    <w:rsid w:val="273A08D4"/>
    <w:rsid w:val="27424D64"/>
    <w:rsid w:val="28B716D5"/>
    <w:rsid w:val="29242236"/>
    <w:rsid w:val="297F5817"/>
    <w:rsid w:val="29BB6604"/>
    <w:rsid w:val="29D4215C"/>
    <w:rsid w:val="29FA71DD"/>
    <w:rsid w:val="2A87283A"/>
    <w:rsid w:val="2AA14FE7"/>
    <w:rsid w:val="2B8047C6"/>
    <w:rsid w:val="2BDC049A"/>
    <w:rsid w:val="2CB01729"/>
    <w:rsid w:val="2DB03BAE"/>
    <w:rsid w:val="2E0B01BD"/>
    <w:rsid w:val="2E2E78E1"/>
    <w:rsid w:val="2E3369ED"/>
    <w:rsid w:val="2E513BF2"/>
    <w:rsid w:val="2E874654"/>
    <w:rsid w:val="2EBC31ED"/>
    <w:rsid w:val="2EDE23D6"/>
    <w:rsid w:val="2F234B17"/>
    <w:rsid w:val="2F6468C7"/>
    <w:rsid w:val="2FAA31FC"/>
    <w:rsid w:val="2FAD0853"/>
    <w:rsid w:val="2FD074BA"/>
    <w:rsid w:val="30275C6A"/>
    <w:rsid w:val="31736431"/>
    <w:rsid w:val="31934657"/>
    <w:rsid w:val="321D61E5"/>
    <w:rsid w:val="32455E4E"/>
    <w:rsid w:val="32572F5B"/>
    <w:rsid w:val="329A1D2C"/>
    <w:rsid w:val="32D45B36"/>
    <w:rsid w:val="32FD7677"/>
    <w:rsid w:val="33127178"/>
    <w:rsid w:val="331A56DD"/>
    <w:rsid w:val="336720A8"/>
    <w:rsid w:val="33BE4E6C"/>
    <w:rsid w:val="341237DB"/>
    <w:rsid w:val="347F4321"/>
    <w:rsid w:val="34957EEE"/>
    <w:rsid w:val="34AF5E17"/>
    <w:rsid w:val="34C66285"/>
    <w:rsid w:val="34CF5963"/>
    <w:rsid w:val="34F64016"/>
    <w:rsid w:val="3535612A"/>
    <w:rsid w:val="35882950"/>
    <w:rsid w:val="358A0398"/>
    <w:rsid w:val="35B11A3B"/>
    <w:rsid w:val="3631685A"/>
    <w:rsid w:val="364B0F1E"/>
    <w:rsid w:val="36877F67"/>
    <w:rsid w:val="36A06A41"/>
    <w:rsid w:val="36B02B65"/>
    <w:rsid w:val="36ED2E97"/>
    <w:rsid w:val="373731E1"/>
    <w:rsid w:val="38593F9B"/>
    <w:rsid w:val="387A2F42"/>
    <w:rsid w:val="38B95A2F"/>
    <w:rsid w:val="38B95F19"/>
    <w:rsid w:val="3965558B"/>
    <w:rsid w:val="39CD5344"/>
    <w:rsid w:val="39E87D58"/>
    <w:rsid w:val="3A35789E"/>
    <w:rsid w:val="3A434F59"/>
    <w:rsid w:val="3A5A0946"/>
    <w:rsid w:val="3A7B7EC9"/>
    <w:rsid w:val="3AA64614"/>
    <w:rsid w:val="3AC72DD7"/>
    <w:rsid w:val="3B12490C"/>
    <w:rsid w:val="3B872EBA"/>
    <w:rsid w:val="3BA65134"/>
    <w:rsid w:val="3BBD47DF"/>
    <w:rsid w:val="3BF53825"/>
    <w:rsid w:val="3C4B7528"/>
    <w:rsid w:val="3D2F74A4"/>
    <w:rsid w:val="3D7F7301"/>
    <w:rsid w:val="3D821079"/>
    <w:rsid w:val="3D9D6F77"/>
    <w:rsid w:val="3E202CA6"/>
    <w:rsid w:val="3E2A74B3"/>
    <w:rsid w:val="3E7E6703"/>
    <w:rsid w:val="3EC26C70"/>
    <w:rsid w:val="3EF95BE6"/>
    <w:rsid w:val="3F5F2BDD"/>
    <w:rsid w:val="3FDA7B2E"/>
    <w:rsid w:val="40FB6AB5"/>
    <w:rsid w:val="41B90D0A"/>
    <w:rsid w:val="425A052B"/>
    <w:rsid w:val="42695A95"/>
    <w:rsid w:val="42BA533C"/>
    <w:rsid w:val="42D31A32"/>
    <w:rsid w:val="43216E71"/>
    <w:rsid w:val="433F148B"/>
    <w:rsid w:val="43F72211"/>
    <w:rsid w:val="441B6D16"/>
    <w:rsid w:val="4447113F"/>
    <w:rsid w:val="455333FC"/>
    <w:rsid w:val="45676EB6"/>
    <w:rsid w:val="45CF29FF"/>
    <w:rsid w:val="45D25287"/>
    <w:rsid w:val="46052D2E"/>
    <w:rsid w:val="461E16C5"/>
    <w:rsid w:val="46535B0E"/>
    <w:rsid w:val="46540A65"/>
    <w:rsid w:val="46766A69"/>
    <w:rsid w:val="467C0503"/>
    <w:rsid w:val="468A0E50"/>
    <w:rsid w:val="47372B29"/>
    <w:rsid w:val="474447C2"/>
    <w:rsid w:val="475435F5"/>
    <w:rsid w:val="47C25C9D"/>
    <w:rsid w:val="47D33532"/>
    <w:rsid w:val="481740C9"/>
    <w:rsid w:val="48254B15"/>
    <w:rsid w:val="485D7895"/>
    <w:rsid w:val="48A46645"/>
    <w:rsid w:val="48A502C3"/>
    <w:rsid w:val="49AA0DA1"/>
    <w:rsid w:val="49FF6F2C"/>
    <w:rsid w:val="4A271E5D"/>
    <w:rsid w:val="4AD45AE0"/>
    <w:rsid w:val="4AD473FF"/>
    <w:rsid w:val="4B506466"/>
    <w:rsid w:val="4B7D670C"/>
    <w:rsid w:val="4B8629C5"/>
    <w:rsid w:val="4BC24048"/>
    <w:rsid w:val="4BDE7848"/>
    <w:rsid w:val="4C4E081A"/>
    <w:rsid w:val="4C641C30"/>
    <w:rsid w:val="4D1226B7"/>
    <w:rsid w:val="4D360773"/>
    <w:rsid w:val="4D541F0D"/>
    <w:rsid w:val="4D696847"/>
    <w:rsid w:val="4DBF7491"/>
    <w:rsid w:val="4DC65A32"/>
    <w:rsid w:val="4DCE1FB4"/>
    <w:rsid w:val="4E8F254C"/>
    <w:rsid w:val="4EA00F20"/>
    <w:rsid w:val="4EE96017"/>
    <w:rsid w:val="4EF53BDD"/>
    <w:rsid w:val="4EF558DD"/>
    <w:rsid w:val="4F0513A3"/>
    <w:rsid w:val="4F303729"/>
    <w:rsid w:val="4F725961"/>
    <w:rsid w:val="4F8B06D0"/>
    <w:rsid w:val="4FD96FEB"/>
    <w:rsid w:val="4FDA48A7"/>
    <w:rsid w:val="503025A4"/>
    <w:rsid w:val="50E14B0C"/>
    <w:rsid w:val="517D375A"/>
    <w:rsid w:val="51BA3852"/>
    <w:rsid w:val="51C847A7"/>
    <w:rsid w:val="51EC5105"/>
    <w:rsid w:val="527F1C7E"/>
    <w:rsid w:val="528152C4"/>
    <w:rsid w:val="53192936"/>
    <w:rsid w:val="531A7361"/>
    <w:rsid w:val="539E0E3F"/>
    <w:rsid w:val="549C3DB7"/>
    <w:rsid w:val="556922FE"/>
    <w:rsid w:val="55697FF0"/>
    <w:rsid w:val="558B60D3"/>
    <w:rsid w:val="586A277A"/>
    <w:rsid w:val="588A65EB"/>
    <w:rsid w:val="58C51E7B"/>
    <w:rsid w:val="58C53D5C"/>
    <w:rsid w:val="593F52D1"/>
    <w:rsid w:val="594158C9"/>
    <w:rsid w:val="594A372F"/>
    <w:rsid w:val="59570EC7"/>
    <w:rsid w:val="59B14DA6"/>
    <w:rsid w:val="59F32FF4"/>
    <w:rsid w:val="5A034DCE"/>
    <w:rsid w:val="5A344B51"/>
    <w:rsid w:val="5A882A09"/>
    <w:rsid w:val="5B6055D5"/>
    <w:rsid w:val="5C065F1F"/>
    <w:rsid w:val="5CA21881"/>
    <w:rsid w:val="5D034D02"/>
    <w:rsid w:val="5D301DD4"/>
    <w:rsid w:val="5D3426BB"/>
    <w:rsid w:val="5E0B4055"/>
    <w:rsid w:val="5E3C356B"/>
    <w:rsid w:val="5E720A51"/>
    <w:rsid w:val="5E884648"/>
    <w:rsid w:val="5F0351E7"/>
    <w:rsid w:val="5F9642C2"/>
    <w:rsid w:val="5FA53869"/>
    <w:rsid w:val="5FF50576"/>
    <w:rsid w:val="60A20ADA"/>
    <w:rsid w:val="60D54D99"/>
    <w:rsid w:val="61510322"/>
    <w:rsid w:val="618F5845"/>
    <w:rsid w:val="623F5190"/>
    <w:rsid w:val="62832EAC"/>
    <w:rsid w:val="6301228D"/>
    <w:rsid w:val="636A36E7"/>
    <w:rsid w:val="6392203B"/>
    <w:rsid w:val="63B243A4"/>
    <w:rsid w:val="6443100A"/>
    <w:rsid w:val="64590041"/>
    <w:rsid w:val="64971A9B"/>
    <w:rsid w:val="65127210"/>
    <w:rsid w:val="651D2857"/>
    <w:rsid w:val="6555446F"/>
    <w:rsid w:val="65670EFF"/>
    <w:rsid w:val="65830D66"/>
    <w:rsid w:val="65E5495C"/>
    <w:rsid w:val="65F77832"/>
    <w:rsid w:val="66055C49"/>
    <w:rsid w:val="67527769"/>
    <w:rsid w:val="675D2D1E"/>
    <w:rsid w:val="67C85792"/>
    <w:rsid w:val="67DF397A"/>
    <w:rsid w:val="680438A7"/>
    <w:rsid w:val="689C5987"/>
    <w:rsid w:val="68B346CD"/>
    <w:rsid w:val="6924336A"/>
    <w:rsid w:val="69FE6203"/>
    <w:rsid w:val="6ADF35CB"/>
    <w:rsid w:val="6AE86D4E"/>
    <w:rsid w:val="6B4E374A"/>
    <w:rsid w:val="6B7919BE"/>
    <w:rsid w:val="6B82068F"/>
    <w:rsid w:val="6B9672FF"/>
    <w:rsid w:val="6C226F88"/>
    <w:rsid w:val="6C99753B"/>
    <w:rsid w:val="6CD047AC"/>
    <w:rsid w:val="6D657FBA"/>
    <w:rsid w:val="6DA06427"/>
    <w:rsid w:val="6E566319"/>
    <w:rsid w:val="6E9D1116"/>
    <w:rsid w:val="6EA36847"/>
    <w:rsid w:val="6ED42373"/>
    <w:rsid w:val="6F3C70FB"/>
    <w:rsid w:val="6F444F49"/>
    <w:rsid w:val="6FD5359F"/>
    <w:rsid w:val="706D6BD9"/>
    <w:rsid w:val="708F577C"/>
    <w:rsid w:val="70AD5C75"/>
    <w:rsid w:val="70C270F1"/>
    <w:rsid w:val="70CE2B14"/>
    <w:rsid w:val="714230BF"/>
    <w:rsid w:val="72713E6C"/>
    <w:rsid w:val="72B117A6"/>
    <w:rsid w:val="72C922E5"/>
    <w:rsid w:val="73742BD5"/>
    <w:rsid w:val="7396000F"/>
    <w:rsid w:val="73975040"/>
    <w:rsid w:val="740235C5"/>
    <w:rsid w:val="7470752F"/>
    <w:rsid w:val="74F1780C"/>
    <w:rsid w:val="74F8722E"/>
    <w:rsid w:val="75772595"/>
    <w:rsid w:val="75B079EE"/>
    <w:rsid w:val="763063CA"/>
    <w:rsid w:val="76422CDA"/>
    <w:rsid w:val="76490A34"/>
    <w:rsid w:val="76EE56FE"/>
    <w:rsid w:val="77237704"/>
    <w:rsid w:val="77305867"/>
    <w:rsid w:val="773362C8"/>
    <w:rsid w:val="77B02701"/>
    <w:rsid w:val="77EB4C70"/>
    <w:rsid w:val="788F035B"/>
    <w:rsid w:val="78C5575B"/>
    <w:rsid w:val="78C92E9E"/>
    <w:rsid w:val="79440647"/>
    <w:rsid w:val="79452519"/>
    <w:rsid w:val="79701BFA"/>
    <w:rsid w:val="7A101E31"/>
    <w:rsid w:val="7A9336EA"/>
    <w:rsid w:val="7B172461"/>
    <w:rsid w:val="7B9F4E03"/>
    <w:rsid w:val="7BC65C11"/>
    <w:rsid w:val="7C3D00A9"/>
    <w:rsid w:val="7C720BA6"/>
    <w:rsid w:val="7C953BE7"/>
    <w:rsid w:val="7D0A5D47"/>
    <w:rsid w:val="7D1831EB"/>
    <w:rsid w:val="7DB85BF4"/>
    <w:rsid w:val="7E0672CB"/>
    <w:rsid w:val="7E0C2CF8"/>
    <w:rsid w:val="7E6B2303"/>
    <w:rsid w:val="7E8A7475"/>
    <w:rsid w:val="7E986579"/>
    <w:rsid w:val="7E9B2391"/>
    <w:rsid w:val="7EF02711"/>
    <w:rsid w:val="7F72408A"/>
    <w:rsid w:val="7FAB214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ocked="1"/>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nhideWhenUsed="0" w:uiPriority="0" w:semiHidden="0" w:name="table of authorities"/>
    <w:lsdException w:uiPriority="99" w:name="macro" w:locked="1"/>
    <w:lsdException w:uiPriority="99" w:name="toa heading" w:locked="1"/>
    <w:lsdException w:unhideWhenUsed="0" w:uiPriority="0" w:semiHidden="0" w:name="List"/>
    <w:lsdException w:unhideWhenUsed="0" w:uiPriority="0"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szCs w:val="26"/>
      <w:lang w:val="en-US" w:eastAsia="zh-CN" w:bidi="ar-SA"/>
    </w:rPr>
  </w:style>
  <w:style w:type="paragraph" w:styleId="4">
    <w:name w:val="heading 1"/>
    <w:basedOn w:val="1"/>
    <w:next w:val="1"/>
    <w:link w:val="63"/>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64"/>
    <w:qFormat/>
    <w:uiPriority w:val="99"/>
    <w:pPr>
      <w:keepNext/>
      <w:keepLines/>
      <w:overflowPunct w:val="0"/>
      <w:adjustRightInd w:val="0"/>
      <w:jc w:val="left"/>
      <w:textAlignment w:val="baseline"/>
      <w:outlineLvl w:val="1"/>
    </w:pPr>
    <w:rPr>
      <w:rFonts w:ascii="宋体" w:hAnsi="宋体" w:cs="宋体"/>
      <w:b/>
      <w:bCs/>
    </w:rPr>
  </w:style>
  <w:style w:type="paragraph" w:styleId="6">
    <w:name w:val="heading 3"/>
    <w:basedOn w:val="1"/>
    <w:next w:val="1"/>
    <w:link w:val="65"/>
    <w:qFormat/>
    <w:uiPriority w:val="99"/>
    <w:pPr>
      <w:keepNext/>
      <w:keepLines/>
      <w:adjustRightInd w:val="0"/>
      <w:jc w:val="left"/>
      <w:textAlignment w:val="baseline"/>
      <w:outlineLvl w:val="2"/>
    </w:pPr>
    <w:rPr>
      <w:b/>
      <w:bCs/>
    </w:rPr>
  </w:style>
  <w:style w:type="paragraph" w:styleId="7">
    <w:name w:val="heading 4"/>
    <w:basedOn w:val="1"/>
    <w:next w:val="1"/>
    <w:link w:val="66"/>
    <w:qFormat/>
    <w:uiPriority w:val="99"/>
    <w:pPr>
      <w:keepNext/>
      <w:keepLines/>
      <w:adjustRightInd w:val="0"/>
      <w:spacing w:line="376" w:lineRule="atLeast"/>
      <w:textAlignment w:val="baseline"/>
      <w:outlineLvl w:val="3"/>
    </w:pPr>
    <w:rPr>
      <w:rFonts w:ascii="Arial" w:hAnsi="Arial" w:eastAsia="黑体" w:cs="Arial"/>
      <w:b/>
      <w:bCs/>
      <w:sz w:val="28"/>
      <w:szCs w:val="28"/>
    </w:rPr>
  </w:style>
  <w:style w:type="paragraph" w:styleId="8">
    <w:name w:val="heading 5"/>
    <w:basedOn w:val="1"/>
    <w:next w:val="9"/>
    <w:link w:val="67"/>
    <w:qFormat/>
    <w:uiPriority w:val="99"/>
    <w:pPr>
      <w:keepNext/>
      <w:keepLines/>
      <w:numPr>
        <w:ilvl w:val="4"/>
        <w:numId w:val="1"/>
      </w:numPr>
      <w:spacing w:before="280" w:after="290" w:line="376" w:lineRule="auto"/>
      <w:outlineLvl w:val="4"/>
    </w:pPr>
    <w:rPr>
      <w:rFonts w:ascii="宋体" w:eastAsia="宋体" w:cs="宋体"/>
      <w:b/>
      <w:bCs/>
      <w:spacing w:val="-2"/>
      <w:position w:val="-6"/>
      <w:sz w:val="28"/>
      <w:szCs w:val="28"/>
    </w:rPr>
  </w:style>
  <w:style w:type="paragraph" w:styleId="10">
    <w:name w:val="heading 6"/>
    <w:basedOn w:val="1"/>
    <w:next w:val="9"/>
    <w:link w:val="68"/>
    <w:qFormat/>
    <w:uiPriority w:val="99"/>
    <w:pPr>
      <w:keepNext/>
      <w:keepLines/>
      <w:numPr>
        <w:ilvl w:val="5"/>
        <w:numId w:val="1"/>
      </w:numPr>
      <w:spacing w:before="240" w:after="64" w:line="320" w:lineRule="auto"/>
      <w:outlineLvl w:val="5"/>
    </w:pPr>
    <w:rPr>
      <w:rFonts w:ascii="Arial" w:hAnsi="Arial" w:eastAsia="黑体" w:cs="Arial"/>
      <w:b/>
      <w:bCs/>
      <w:spacing w:val="-2"/>
      <w:position w:val="-6"/>
      <w:sz w:val="24"/>
      <w:szCs w:val="24"/>
    </w:rPr>
  </w:style>
  <w:style w:type="paragraph" w:styleId="11">
    <w:name w:val="heading 7"/>
    <w:basedOn w:val="1"/>
    <w:next w:val="9"/>
    <w:link w:val="69"/>
    <w:qFormat/>
    <w:uiPriority w:val="99"/>
    <w:pPr>
      <w:keepNext/>
      <w:keepLines/>
      <w:numPr>
        <w:ilvl w:val="6"/>
        <w:numId w:val="1"/>
      </w:numPr>
      <w:spacing w:before="240" w:after="64" w:line="320" w:lineRule="auto"/>
      <w:outlineLvl w:val="6"/>
    </w:pPr>
    <w:rPr>
      <w:rFonts w:ascii="宋体" w:eastAsia="宋体" w:cs="宋体"/>
      <w:b/>
      <w:bCs/>
      <w:spacing w:val="-2"/>
      <w:position w:val="-6"/>
      <w:sz w:val="24"/>
      <w:szCs w:val="24"/>
    </w:rPr>
  </w:style>
  <w:style w:type="paragraph" w:styleId="12">
    <w:name w:val="heading 8"/>
    <w:basedOn w:val="1"/>
    <w:next w:val="9"/>
    <w:link w:val="70"/>
    <w:qFormat/>
    <w:uiPriority w:val="99"/>
    <w:pPr>
      <w:keepNext/>
      <w:keepLines/>
      <w:numPr>
        <w:ilvl w:val="7"/>
        <w:numId w:val="1"/>
      </w:numPr>
      <w:spacing w:before="240" w:after="64" w:line="320" w:lineRule="auto"/>
      <w:outlineLvl w:val="7"/>
    </w:pPr>
    <w:rPr>
      <w:rFonts w:ascii="Arial" w:hAnsi="Arial" w:eastAsia="黑体" w:cs="Arial"/>
      <w:spacing w:val="-2"/>
      <w:position w:val="-6"/>
      <w:sz w:val="24"/>
      <w:szCs w:val="24"/>
    </w:rPr>
  </w:style>
  <w:style w:type="paragraph" w:styleId="13">
    <w:name w:val="heading 9"/>
    <w:basedOn w:val="1"/>
    <w:next w:val="9"/>
    <w:link w:val="71"/>
    <w:qFormat/>
    <w:uiPriority w:val="99"/>
    <w:pPr>
      <w:keepNext/>
      <w:keepLines/>
      <w:numPr>
        <w:ilvl w:val="8"/>
        <w:numId w:val="1"/>
      </w:numPr>
      <w:spacing w:before="240" w:after="64" w:line="320" w:lineRule="auto"/>
      <w:outlineLvl w:val="8"/>
    </w:pPr>
    <w:rPr>
      <w:rFonts w:ascii="Arial" w:hAnsi="Arial" w:eastAsia="黑体" w:cs="Arial"/>
      <w:spacing w:val="-2"/>
      <w:position w:val="-6"/>
      <w:sz w:val="28"/>
      <w:szCs w:val="28"/>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73"/>
    <w:qFormat/>
    <w:uiPriority w:val="99"/>
    <w:pPr>
      <w:tabs>
        <w:tab w:val="left" w:pos="420"/>
      </w:tabs>
      <w:spacing w:beforeLines="50" w:after="120" w:line="300" w:lineRule="auto"/>
      <w:ind w:firstLine="420" w:firstLineChars="250"/>
    </w:pPr>
    <w:rPr>
      <w:sz w:val="24"/>
      <w:szCs w:val="24"/>
    </w:rPr>
  </w:style>
  <w:style w:type="paragraph" w:styleId="3">
    <w:name w:val="Body Text"/>
    <w:basedOn w:val="1"/>
    <w:link w:val="72"/>
    <w:qFormat/>
    <w:uiPriority w:val="99"/>
    <w:pPr>
      <w:spacing w:line="400" w:lineRule="exact"/>
    </w:pPr>
    <w:rPr>
      <w:rFonts w:ascii="楷体_GB2312" w:cs="楷体_GB2312"/>
      <w:sz w:val="28"/>
      <w:szCs w:val="28"/>
    </w:rPr>
  </w:style>
  <w:style w:type="paragraph" w:styleId="9">
    <w:name w:val="Normal Indent"/>
    <w:basedOn w:val="1"/>
    <w:link w:val="95"/>
    <w:qFormat/>
    <w:uiPriority w:val="99"/>
    <w:pPr>
      <w:adjustRightInd w:val="0"/>
      <w:ind w:firstLine="420"/>
      <w:jc w:val="left"/>
      <w:textAlignment w:val="baseline"/>
    </w:pPr>
    <w:rPr>
      <w:sz w:val="24"/>
      <w:szCs w:val="24"/>
    </w:rPr>
  </w:style>
  <w:style w:type="paragraph" w:styleId="14">
    <w:name w:val="toc 7"/>
    <w:basedOn w:val="1"/>
    <w:next w:val="1"/>
    <w:semiHidden/>
    <w:qFormat/>
    <w:uiPriority w:val="99"/>
    <w:pPr>
      <w:ind w:left="2520"/>
    </w:pPr>
  </w:style>
  <w:style w:type="paragraph" w:styleId="15">
    <w:name w:val="index 8"/>
    <w:basedOn w:val="1"/>
    <w:next w:val="1"/>
    <w:semiHidden/>
    <w:qFormat/>
    <w:uiPriority w:val="99"/>
    <w:pPr>
      <w:ind w:left="2940"/>
    </w:pPr>
  </w:style>
  <w:style w:type="paragraph" w:styleId="16">
    <w:name w:val="index 5"/>
    <w:basedOn w:val="1"/>
    <w:next w:val="1"/>
    <w:semiHidden/>
    <w:qFormat/>
    <w:uiPriority w:val="99"/>
    <w:pPr>
      <w:ind w:left="1680"/>
    </w:pPr>
  </w:style>
  <w:style w:type="paragraph" w:styleId="17">
    <w:name w:val="Document Map"/>
    <w:basedOn w:val="1"/>
    <w:link w:val="74"/>
    <w:semiHidden/>
    <w:qFormat/>
    <w:uiPriority w:val="99"/>
    <w:pPr>
      <w:shd w:val="clear" w:color="auto" w:fill="000080"/>
    </w:pPr>
  </w:style>
  <w:style w:type="paragraph" w:styleId="18">
    <w:name w:val="annotation text"/>
    <w:basedOn w:val="1"/>
    <w:link w:val="75"/>
    <w:semiHidden/>
    <w:qFormat/>
    <w:uiPriority w:val="99"/>
    <w:pPr>
      <w:jc w:val="left"/>
    </w:pPr>
  </w:style>
  <w:style w:type="paragraph" w:styleId="19">
    <w:name w:val="index 6"/>
    <w:basedOn w:val="1"/>
    <w:next w:val="1"/>
    <w:semiHidden/>
    <w:qFormat/>
    <w:uiPriority w:val="99"/>
    <w:pPr>
      <w:ind w:left="2100"/>
    </w:pPr>
  </w:style>
  <w:style w:type="paragraph" w:styleId="20">
    <w:name w:val="Body Text Indent"/>
    <w:basedOn w:val="1"/>
    <w:link w:val="76"/>
    <w:qFormat/>
    <w:uiPriority w:val="99"/>
    <w:pPr>
      <w:spacing w:line="520" w:lineRule="exact"/>
      <w:ind w:left="570"/>
    </w:pPr>
    <w:rPr>
      <w:rFonts w:ascii="方正仿宋简体" w:hAnsi="创艺简仿宋" w:eastAsia="方正仿宋简体" w:cs="方正仿宋简体"/>
      <w:sz w:val="24"/>
      <w:szCs w:val="24"/>
    </w:rPr>
  </w:style>
  <w:style w:type="paragraph" w:styleId="21">
    <w:name w:val="index 4"/>
    <w:basedOn w:val="1"/>
    <w:next w:val="1"/>
    <w:semiHidden/>
    <w:qFormat/>
    <w:uiPriority w:val="99"/>
    <w:pPr>
      <w:ind w:left="1260"/>
    </w:pPr>
  </w:style>
  <w:style w:type="paragraph" w:styleId="22">
    <w:name w:val="toc 5"/>
    <w:basedOn w:val="1"/>
    <w:next w:val="1"/>
    <w:semiHidden/>
    <w:qFormat/>
    <w:uiPriority w:val="99"/>
    <w:pPr>
      <w:ind w:left="1680"/>
    </w:pPr>
  </w:style>
  <w:style w:type="paragraph" w:styleId="23">
    <w:name w:val="toc 3"/>
    <w:basedOn w:val="1"/>
    <w:next w:val="1"/>
    <w:semiHidden/>
    <w:qFormat/>
    <w:uiPriority w:val="99"/>
    <w:pPr>
      <w:ind w:left="840"/>
    </w:pPr>
  </w:style>
  <w:style w:type="paragraph" w:styleId="24">
    <w:name w:val="Plain Text"/>
    <w:basedOn w:val="1"/>
    <w:link w:val="77"/>
    <w:qFormat/>
    <w:uiPriority w:val="99"/>
    <w:rPr>
      <w:rFonts w:ascii="宋体" w:hAnsi="Courier New" w:cs="宋体"/>
    </w:rPr>
  </w:style>
  <w:style w:type="paragraph" w:styleId="25">
    <w:name w:val="toc 8"/>
    <w:basedOn w:val="1"/>
    <w:next w:val="1"/>
    <w:semiHidden/>
    <w:qFormat/>
    <w:uiPriority w:val="99"/>
    <w:pPr>
      <w:ind w:left="2940"/>
    </w:pPr>
  </w:style>
  <w:style w:type="paragraph" w:styleId="26">
    <w:name w:val="index 3"/>
    <w:basedOn w:val="1"/>
    <w:next w:val="1"/>
    <w:semiHidden/>
    <w:qFormat/>
    <w:uiPriority w:val="99"/>
    <w:pPr>
      <w:ind w:left="840"/>
    </w:pPr>
  </w:style>
  <w:style w:type="paragraph" w:styleId="27">
    <w:name w:val="Date"/>
    <w:basedOn w:val="1"/>
    <w:next w:val="1"/>
    <w:link w:val="78"/>
    <w:qFormat/>
    <w:uiPriority w:val="99"/>
    <w:rPr>
      <w:rFonts w:ascii="宋体" w:hAnsi="宋体" w:cs="宋体"/>
      <w:sz w:val="24"/>
      <w:szCs w:val="24"/>
    </w:rPr>
  </w:style>
  <w:style w:type="paragraph" w:styleId="28">
    <w:name w:val="Body Text Indent 2"/>
    <w:basedOn w:val="1"/>
    <w:link w:val="79"/>
    <w:qFormat/>
    <w:uiPriority w:val="99"/>
    <w:pPr>
      <w:tabs>
        <w:tab w:val="left" w:pos="0"/>
      </w:tabs>
      <w:spacing w:line="360" w:lineRule="auto"/>
      <w:ind w:firstLine="502" w:firstLineChars="209"/>
    </w:pPr>
    <w:rPr>
      <w:rFonts w:ascii="宋体" w:eastAsia="宋体" w:cs="宋体"/>
      <w:b/>
      <w:bCs/>
      <w:sz w:val="24"/>
      <w:szCs w:val="24"/>
    </w:rPr>
  </w:style>
  <w:style w:type="paragraph" w:styleId="29">
    <w:name w:val="Balloon Text"/>
    <w:basedOn w:val="1"/>
    <w:link w:val="80"/>
    <w:semiHidden/>
    <w:qFormat/>
    <w:uiPriority w:val="99"/>
    <w:rPr>
      <w:sz w:val="18"/>
      <w:szCs w:val="18"/>
    </w:rPr>
  </w:style>
  <w:style w:type="paragraph" w:styleId="30">
    <w:name w:val="footer"/>
    <w:basedOn w:val="1"/>
    <w:link w:val="81"/>
    <w:qFormat/>
    <w:uiPriority w:val="99"/>
    <w:pPr>
      <w:tabs>
        <w:tab w:val="center" w:pos="4153"/>
        <w:tab w:val="right" w:pos="8306"/>
      </w:tabs>
      <w:snapToGrid w:val="0"/>
      <w:jc w:val="left"/>
    </w:pPr>
    <w:rPr>
      <w:sz w:val="18"/>
      <w:szCs w:val="18"/>
    </w:rPr>
  </w:style>
  <w:style w:type="paragraph" w:styleId="31">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semiHidden/>
    <w:qFormat/>
    <w:uiPriority w:val="99"/>
    <w:pPr>
      <w:adjustRightInd w:val="0"/>
      <w:jc w:val="left"/>
      <w:textAlignment w:val="baseline"/>
    </w:pPr>
    <w:rPr>
      <w:sz w:val="24"/>
      <w:szCs w:val="24"/>
    </w:rPr>
  </w:style>
  <w:style w:type="paragraph" w:styleId="33">
    <w:name w:val="toc 4"/>
    <w:basedOn w:val="1"/>
    <w:next w:val="1"/>
    <w:semiHidden/>
    <w:qFormat/>
    <w:uiPriority w:val="99"/>
    <w:pPr>
      <w:ind w:left="1260"/>
    </w:pPr>
  </w:style>
  <w:style w:type="paragraph" w:styleId="34">
    <w:name w:val="index heading"/>
    <w:basedOn w:val="1"/>
    <w:next w:val="35"/>
    <w:semiHidden/>
    <w:qFormat/>
    <w:uiPriority w:val="99"/>
  </w:style>
  <w:style w:type="paragraph" w:styleId="35">
    <w:name w:val="index 1"/>
    <w:basedOn w:val="1"/>
    <w:next w:val="1"/>
    <w:semiHidden/>
    <w:qFormat/>
    <w:uiPriority w:val="99"/>
  </w:style>
  <w:style w:type="paragraph" w:styleId="36">
    <w:name w:val="footnote text"/>
    <w:basedOn w:val="1"/>
    <w:link w:val="83"/>
    <w:semiHidden/>
    <w:qFormat/>
    <w:uiPriority w:val="99"/>
    <w:pPr>
      <w:snapToGrid w:val="0"/>
      <w:jc w:val="left"/>
    </w:pPr>
    <w:rPr>
      <w:sz w:val="18"/>
      <w:szCs w:val="18"/>
    </w:rPr>
  </w:style>
  <w:style w:type="paragraph" w:styleId="37">
    <w:name w:val="toc 6"/>
    <w:basedOn w:val="1"/>
    <w:next w:val="1"/>
    <w:semiHidden/>
    <w:qFormat/>
    <w:uiPriority w:val="99"/>
    <w:pPr>
      <w:ind w:left="2100"/>
    </w:pPr>
  </w:style>
  <w:style w:type="paragraph" w:styleId="38">
    <w:name w:val="Body Text Indent 3"/>
    <w:basedOn w:val="1"/>
    <w:link w:val="84"/>
    <w:qFormat/>
    <w:uiPriority w:val="99"/>
    <w:pPr>
      <w:spacing w:line="360" w:lineRule="auto"/>
      <w:ind w:firstLine="617" w:firstLineChars="257"/>
    </w:pPr>
    <w:rPr>
      <w:rFonts w:eastAsia="宋体"/>
      <w:sz w:val="24"/>
      <w:szCs w:val="24"/>
    </w:rPr>
  </w:style>
  <w:style w:type="paragraph" w:styleId="39">
    <w:name w:val="index 7"/>
    <w:basedOn w:val="1"/>
    <w:next w:val="1"/>
    <w:semiHidden/>
    <w:qFormat/>
    <w:uiPriority w:val="99"/>
    <w:pPr>
      <w:ind w:left="2520"/>
    </w:pPr>
  </w:style>
  <w:style w:type="paragraph" w:styleId="40">
    <w:name w:val="index 9"/>
    <w:basedOn w:val="1"/>
    <w:next w:val="1"/>
    <w:semiHidden/>
    <w:qFormat/>
    <w:uiPriority w:val="99"/>
    <w:pPr>
      <w:ind w:left="3360"/>
    </w:pPr>
  </w:style>
  <w:style w:type="paragraph" w:styleId="41">
    <w:name w:val="table of figures"/>
    <w:basedOn w:val="1"/>
    <w:next w:val="1"/>
    <w:semiHidden/>
    <w:qFormat/>
    <w:uiPriority w:val="99"/>
    <w:pPr>
      <w:adjustRightInd w:val="0"/>
      <w:ind w:left="420" w:hanging="420"/>
      <w:jc w:val="left"/>
      <w:textAlignment w:val="baseline"/>
    </w:pPr>
    <w:rPr>
      <w:smallCaps/>
      <w:sz w:val="24"/>
      <w:szCs w:val="24"/>
    </w:rPr>
  </w:style>
  <w:style w:type="paragraph" w:styleId="42">
    <w:name w:val="toc 2"/>
    <w:basedOn w:val="1"/>
    <w:next w:val="1"/>
    <w:semiHidden/>
    <w:qFormat/>
    <w:uiPriority w:val="99"/>
    <w:pPr>
      <w:ind w:left="420"/>
    </w:pPr>
  </w:style>
  <w:style w:type="paragraph" w:styleId="43">
    <w:name w:val="toc 9"/>
    <w:basedOn w:val="1"/>
    <w:next w:val="1"/>
    <w:semiHidden/>
    <w:qFormat/>
    <w:uiPriority w:val="99"/>
    <w:pPr>
      <w:ind w:left="3360"/>
    </w:pPr>
  </w:style>
  <w:style w:type="paragraph" w:styleId="44">
    <w:name w:val="HTML Preformatted"/>
    <w:basedOn w:val="1"/>
    <w:link w:val="8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45">
    <w:name w:val="index 2"/>
    <w:basedOn w:val="1"/>
    <w:next w:val="1"/>
    <w:semiHidden/>
    <w:qFormat/>
    <w:uiPriority w:val="99"/>
    <w:pPr>
      <w:ind w:left="420"/>
    </w:pPr>
  </w:style>
  <w:style w:type="paragraph" w:styleId="46">
    <w:name w:val="annotation subject"/>
    <w:basedOn w:val="18"/>
    <w:next w:val="18"/>
    <w:link w:val="86"/>
    <w:semiHidden/>
    <w:qFormat/>
    <w:uiPriority w:val="99"/>
    <w:rPr>
      <w:b/>
      <w:bCs/>
    </w:rPr>
  </w:style>
  <w:style w:type="table" w:styleId="48">
    <w:name w:val="Table Grid"/>
    <w:basedOn w:val="4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99"/>
    <w:rPr>
      <w:b/>
      <w:bCs/>
    </w:rPr>
  </w:style>
  <w:style w:type="character" w:styleId="51">
    <w:name w:val="page number"/>
    <w:basedOn w:val="49"/>
    <w:qFormat/>
    <w:uiPriority w:val="99"/>
  </w:style>
  <w:style w:type="character" w:styleId="52">
    <w:name w:val="FollowedHyperlink"/>
    <w:qFormat/>
    <w:uiPriority w:val="99"/>
    <w:rPr>
      <w:color w:val="auto"/>
      <w:u w:val="single"/>
    </w:rPr>
  </w:style>
  <w:style w:type="character" w:styleId="53">
    <w:name w:val="Emphasis"/>
    <w:qFormat/>
    <w:uiPriority w:val="99"/>
    <w:rPr>
      <w:i/>
      <w:iCs/>
    </w:rPr>
  </w:style>
  <w:style w:type="character" w:styleId="54">
    <w:name w:val="line number"/>
    <w:basedOn w:val="49"/>
    <w:qFormat/>
    <w:uiPriority w:val="99"/>
  </w:style>
  <w:style w:type="character" w:styleId="55">
    <w:name w:val="HTML Definition"/>
    <w:qFormat/>
    <w:uiPriority w:val="99"/>
    <w:rPr>
      <w:i/>
      <w:iCs/>
    </w:rPr>
  </w:style>
  <w:style w:type="character" w:styleId="56">
    <w:name w:val="Hyperlink"/>
    <w:qFormat/>
    <w:uiPriority w:val="99"/>
    <w:rPr>
      <w:color w:val="0000FF"/>
      <w:u w:val="single"/>
    </w:rPr>
  </w:style>
  <w:style w:type="character" w:styleId="57">
    <w:name w:val="HTML Code"/>
    <w:qFormat/>
    <w:uiPriority w:val="99"/>
    <w:rPr>
      <w:rFonts w:ascii="Menlo" w:hAnsi="Menlo" w:eastAsia="Times New Roman" w:cs="Menlo"/>
      <w:color w:val="auto"/>
      <w:sz w:val="21"/>
      <w:szCs w:val="21"/>
      <w:shd w:val="clear" w:color="auto" w:fill="auto"/>
    </w:rPr>
  </w:style>
  <w:style w:type="character" w:styleId="58">
    <w:name w:val="annotation reference"/>
    <w:semiHidden/>
    <w:qFormat/>
    <w:uiPriority w:val="99"/>
    <w:rPr>
      <w:sz w:val="21"/>
      <w:szCs w:val="21"/>
    </w:rPr>
  </w:style>
  <w:style w:type="character" w:styleId="59">
    <w:name w:val="HTML Cite"/>
    <w:basedOn w:val="49"/>
    <w:qFormat/>
    <w:uiPriority w:val="99"/>
  </w:style>
  <w:style w:type="character" w:styleId="60">
    <w:name w:val="footnote reference"/>
    <w:semiHidden/>
    <w:qFormat/>
    <w:uiPriority w:val="99"/>
    <w:rPr>
      <w:vertAlign w:val="superscript"/>
    </w:rPr>
  </w:style>
  <w:style w:type="character" w:styleId="61">
    <w:name w:val="HTML Keyboard"/>
    <w:qFormat/>
    <w:uiPriority w:val="99"/>
    <w:rPr>
      <w:rFonts w:ascii="Menlo" w:hAnsi="Menlo" w:eastAsia="Times New Roman" w:cs="Menlo"/>
      <w:sz w:val="21"/>
      <w:szCs w:val="21"/>
    </w:rPr>
  </w:style>
  <w:style w:type="character" w:styleId="62">
    <w:name w:val="HTML Sample"/>
    <w:qFormat/>
    <w:uiPriority w:val="99"/>
    <w:rPr>
      <w:rFonts w:ascii="Menlo" w:hAnsi="Menlo" w:eastAsia="Times New Roman" w:cs="Menlo"/>
      <w:sz w:val="21"/>
      <w:szCs w:val="21"/>
    </w:rPr>
  </w:style>
  <w:style w:type="character" w:customStyle="1" w:styleId="63">
    <w:name w:val="标题 1 Char"/>
    <w:link w:val="4"/>
    <w:qFormat/>
    <w:uiPriority w:val="9"/>
    <w:rPr>
      <w:rFonts w:eastAsia="楷体_GB2312"/>
      <w:b/>
      <w:bCs/>
      <w:kern w:val="44"/>
      <w:sz w:val="44"/>
      <w:szCs w:val="44"/>
    </w:rPr>
  </w:style>
  <w:style w:type="character" w:customStyle="1" w:styleId="64">
    <w:name w:val="标题 2 Char"/>
    <w:link w:val="5"/>
    <w:qFormat/>
    <w:locked/>
    <w:uiPriority w:val="99"/>
    <w:rPr>
      <w:rFonts w:ascii="宋体" w:hAnsi="宋体" w:eastAsia="楷体_GB2312" w:cs="宋体"/>
      <w:b/>
      <w:bCs/>
      <w:kern w:val="2"/>
      <w:sz w:val="26"/>
      <w:szCs w:val="26"/>
      <w:lang w:val="en-US" w:eastAsia="zh-CN"/>
    </w:rPr>
  </w:style>
  <w:style w:type="character" w:customStyle="1" w:styleId="65">
    <w:name w:val="标题 3 Char"/>
    <w:link w:val="6"/>
    <w:semiHidden/>
    <w:qFormat/>
    <w:uiPriority w:val="9"/>
    <w:rPr>
      <w:rFonts w:eastAsia="楷体_GB2312"/>
      <w:b/>
      <w:bCs/>
      <w:sz w:val="32"/>
      <w:szCs w:val="32"/>
    </w:rPr>
  </w:style>
  <w:style w:type="character" w:customStyle="1" w:styleId="66">
    <w:name w:val="标题 4 Char"/>
    <w:link w:val="7"/>
    <w:semiHidden/>
    <w:qFormat/>
    <w:uiPriority w:val="9"/>
    <w:rPr>
      <w:rFonts w:ascii="Cambria" w:hAnsi="Cambria" w:eastAsia="宋体" w:cs="Times New Roman"/>
      <w:b/>
      <w:bCs/>
      <w:sz w:val="28"/>
      <w:szCs w:val="28"/>
    </w:rPr>
  </w:style>
  <w:style w:type="character" w:customStyle="1" w:styleId="67">
    <w:name w:val="标题 5 Char"/>
    <w:link w:val="8"/>
    <w:semiHidden/>
    <w:qFormat/>
    <w:uiPriority w:val="9"/>
    <w:rPr>
      <w:rFonts w:eastAsia="楷体_GB2312"/>
      <w:b/>
      <w:bCs/>
      <w:sz w:val="28"/>
      <w:szCs w:val="28"/>
    </w:rPr>
  </w:style>
  <w:style w:type="character" w:customStyle="1" w:styleId="68">
    <w:name w:val="标题 6 Char"/>
    <w:link w:val="10"/>
    <w:semiHidden/>
    <w:qFormat/>
    <w:uiPriority w:val="9"/>
    <w:rPr>
      <w:rFonts w:ascii="Cambria" w:hAnsi="Cambria" w:eastAsia="宋体" w:cs="Times New Roman"/>
      <w:b/>
      <w:bCs/>
      <w:sz w:val="24"/>
      <w:szCs w:val="24"/>
    </w:rPr>
  </w:style>
  <w:style w:type="character" w:customStyle="1" w:styleId="69">
    <w:name w:val="标题 7 Char"/>
    <w:link w:val="11"/>
    <w:semiHidden/>
    <w:qFormat/>
    <w:uiPriority w:val="9"/>
    <w:rPr>
      <w:rFonts w:eastAsia="楷体_GB2312"/>
      <w:b/>
      <w:bCs/>
      <w:sz w:val="24"/>
      <w:szCs w:val="24"/>
    </w:rPr>
  </w:style>
  <w:style w:type="character" w:customStyle="1" w:styleId="70">
    <w:name w:val="标题 8 Char"/>
    <w:link w:val="12"/>
    <w:semiHidden/>
    <w:qFormat/>
    <w:uiPriority w:val="9"/>
    <w:rPr>
      <w:rFonts w:ascii="Cambria" w:hAnsi="Cambria" w:eastAsia="宋体" w:cs="Times New Roman"/>
      <w:sz w:val="24"/>
      <w:szCs w:val="24"/>
    </w:rPr>
  </w:style>
  <w:style w:type="character" w:customStyle="1" w:styleId="71">
    <w:name w:val="标题 9 Char"/>
    <w:link w:val="13"/>
    <w:semiHidden/>
    <w:qFormat/>
    <w:uiPriority w:val="9"/>
    <w:rPr>
      <w:rFonts w:ascii="Cambria" w:hAnsi="Cambria" w:eastAsia="宋体" w:cs="Times New Roman"/>
      <w:szCs w:val="21"/>
    </w:rPr>
  </w:style>
  <w:style w:type="character" w:customStyle="1" w:styleId="72">
    <w:name w:val="正文文本 Char"/>
    <w:link w:val="3"/>
    <w:semiHidden/>
    <w:qFormat/>
    <w:uiPriority w:val="99"/>
    <w:rPr>
      <w:rFonts w:eastAsia="楷体_GB2312"/>
      <w:sz w:val="26"/>
      <w:szCs w:val="26"/>
    </w:rPr>
  </w:style>
  <w:style w:type="character" w:customStyle="1" w:styleId="73">
    <w:name w:val="正文首行缩进 Char"/>
    <w:link w:val="2"/>
    <w:qFormat/>
    <w:locked/>
    <w:uiPriority w:val="99"/>
    <w:rPr>
      <w:rFonts w:ascii="楷体_GB2312" w:eastAsia="楷体_GB2312" w:cs="楷体_GB2312"/>
      <w:kern w:val="2"/>
      <w:sz w:val="24"/>
      <w:szCs w:val="24"/>
    </w:rPr>
  </w:style>
  <w:style w:type="character" w:customStyle="1" w:styleId="74">
    <w:name w:val="文档结构图 Char"/>
    <w:link w:val="17"/>
    <w:semiHidden/>
    <w:qFormat/>
    <w:uiPriority w:val="99"/>
    <w:rPr>
      <w:rFonts w:eastAsia="楷体_GB2312"/>
      <w:sz w:val="0"/>
      <w:szCs w:val="0"/>
    </w:rPr>
  </w:style>
  <w:style w:type="character" w:customStyle="1" w:styleId="75">
    <w:name w:val="批注文字 Char"/>
    <w:link w:val="18"/>
    <w:semiHidden/>
    <w:qFormat/>
    <w:locked/>
    <w:uiPriority w:val="99"/>
    <w:rPr>
      <w:rFonts w:eastAsia="楷体_GB2312"/>
      <w:kern w:val="2"/>
      <w:sz w:val="26"/>
      <w:szCs w:val="26"/>
    </w:rPr>
  </w:style>
  <w:style w:type="character" w:customStyle="1" w:styleId="76">
    <w:name w:val="正文文本缩进 Char"/>
    <w:link w:val="20"/>
    <w:qFormat/>
    <w:locked/>
    <w:uiPriority w:val="99"/>
    <w:rPr>
      <w:rFonts w:ascii="方正仿宋简体" w:hAnsi="创艺简仿宋" w:eastAsia="方正仿宋简体" w:cs="方正仿宋简体"/>
      <w:kern w:val="2"/>
      <w:sz w:val="24"/>
      <w:szCs w:val="24"/>
      <w:lang w:val="en-US" w:eastAsia="zh-CN"/>
    </w:rPr>
  </w:style>
  <w:style w:type="character" w:customStyle="1" w:styleId="77">
    <w:name w:val="纯文本 Char"/>
    <w:link w:val="24"/>
    <w:qFormat/>
    <w:locked/>
    <w:uiPriority w:val="99"/>
    <w:rPr>
      <w:rFonts w:ascii="宋体" w:hAnsi="Courier New" w:eastAsia="楷体_GB2312" w:cs="宋体"/>
      <w:kern w:val="2"/>
      <w:sz w:val="26"/>
      <w:szCs w:val="26"/>
      <w:lang w:val="en-US" w:eastAsia="zh-CN"/>
    </w:rPr>
  </w:style>
  <w:style w:type="character" w:customStyle="1" w:styleId="78">
    <w:name w:val="日期 Char"/>
    <w:link w:val="27"/>
    <w:semiHidden/>
    <w:qFormat/>
    <w:uiPriority w:val="99"/>
    <w:rPr>
      <w:rFonts w:eastAsia="楷体_GB2312"/>
      <w:sz w:val="26"/>
      <w:szCs w:val="26"/>
    </w:rPr>
  </w:style>
  <w:style w:type="character" w:customStyle="1" w:styleId="79">
    <w:name w:val="正文文本缩进 2 Char"/>
    <w:link w:val="28"/>
    <w:semiHidden/>
    <w:qFormat/>
    <w:uiPriority w:val="99"/>
    <w:rPr>
      <w:rFonts w:eastAsia="楷体_GB2312"/>
      <w:sz w:val="26"/>
      <w:szCs w:val="26"/>
    </w:rPr>
  </w:style>
  <w:style w:type="character" w:customStyle="1" w:styleId="80">
    <w:name w:val="批注框文本 Char"/>
    <w:link w:val="29"/>
    <w:semiHidden/>
    <w:qFormat/>
    <w:uiPriority w:val="99"/>
    <w:rPr>
      <w:rFonts w:eastAsia="楷体_GB2312"/>
      <w:sz w:val="0"/>
      <w:szCs w:val="0"/>
    </w:rPr>
  </w:style>
  <w:style w:type="character" w:customStyle="1" w:styleId="81">
    <w:name w:val="页脚 Char"/>
    <w:link w:val="30"/>
    <w:qFormat/>
    <w:locked/>
    <w:uiPriority w:val="99"/>
    <w:rPr>
      <w:rFonts w:eastAsia="楷体_GB2312"/>
      <w:kern w:val="2"/>
      <w:sz w:val="18"/>
      <w:szCs w:val="18"/>
    </w:rPr>
  </w:style>
  <w:style w:type="character" w:customStyle="1" w:styleId="82">
    <w:name w:val="页眉 Char"/>
    <w:link w:val="31"/>
    <w:qFormat/>
    <w:locked/>
    <w:uiPriority w:val="99"/>
    <w:rPr>
      <w:rFonts w:eastAsia="楷体_GB2312"/>
      <w:kern w:val="2"/>
      <w:sz w:val="18"/>
      <w:szCs w:val="18"/>
    </w:rPr>
  </w:style>
  <w:style w:type="character" w:customStyle="1" w:styleId="83">
    <w:name w:val="脚注文本 Char"/>
    <w:link w:val="36"/>
    <w:semiHidden/>
    <w:qFormat/>
    <w:uiPriority w:val="99"/>
    <w:rPr>
      <w:rFonts w:eastAsia="楷体_GB2312"/>
      <w:sz w:val="18"/>
      <w:szCs w:val="18"/>
    </w:rPr>
  </w:style>
  <w:style w:type="character" w:customStyle="1" w:styleId="84">
    <w:name w:val="正文文本缩进 3 Char"/>
    <w:link w:val="38"/>
    <w:semiHidden/>
    <w:qFormat/>
    <w:uiPriority w:val="99"/>
    <w:rPr>
      <w:rFonts w:eastAsia="楷体_GB2312"/>
      <w:sz w:val="16"/>
      <w:szCs w:val="16"/>
    </w:rPr>
  </w:style>
  <w:style w:type="character" w:customStyle="1" w:styleId="85">
    <w:name w:val="HTML 预设格式 Char"/>
    <w:link w:val="44"/>
    <w:semiHidden/>
    <w:qFormat/>
    <w:uiPriority w:val="99"/>
    <w:rPr>
      <w:rFonts w:ascii="Courier New" w:hAnsi="Courier New" w:eastAsia="楷体_GB2312" w:cs="Courier New"/>
      <w:sz w:val="20"/>
      <w:szCs w:val="20"/>
    </w:rPr>
  </w:style>
  <w:style w:type="character" w:customStyle="1" w:styleId="86">
    <w:name w:val="批注主题 Char"/>
    <w:link w:val="46"/>
    <w:semiHidden/>
    <w:qFormat/>
    <w:uiPriority w:val="99"/>
    <w:rPr>
      <w:rFonts w:eastAsia="楷体_GB2312"/>
      <w:b/>
      <w:bCs/>
      <w:kern w:val="2"/>
      <w:sz w:val="26"/>
      <w:szCs w:val="26"/>
    </w:rPr>
  </w:style>
  <w:style w:type="character" w:customStyle="1" w:styleId="87">
    <w:name w:val="bds_nopic1"/>
    <w:basedOn w:val="49"/>
    <w:qFormat/>
    <w:uiPriority w:val="99"/>
  </w:style>
  <w:style w:type="character" w:customStyle="1" w:styleId="88">
    <w:name w:val="bds_more8"/>
    <w:qFormat/>
    <w:uiPriority w:val="99"/>
    <w:rPr>
      <w:rFonts w:ascii="宋体" w:hAnsi="宋体" w:eastAsia="宋体" w:cs="宋体"/>
    </w:rPr>
  </w:style>
  <w:style w:type="character" w:customStyle="1" w:styleId="89">
    <w:name w:val="bds_more4"/>
    <w:qFormat/>
    <w:uiPriority w:val="99"/>
    <w:rPr>
      <w:rFonts w:ascii="宋体" w:hAnsi="宋体" w:eastAsia="宋体" w:cs="宋体"/>
    </w:rPr>
  </w:style>
  <w:style w:type="character" w:customStyle="1" w:styleId="90">
    <w:name w:val="hilite6"/>
    <w:qFormat/>
    <w:uiPriority w:val="99"/>
    <w:rPr>
      <w:color w:val="FFFFFF"/>
      <w:shd w:val="clear" w:color="auto" w:fill="auto"/>
    </w:rPr>
  </w:style>
  <w:style w:type="character" w:customStyle="1" w:styleId="91">
    <w:name w:val="hover61"/>
    <w:qFormat/>
    <w:uiPriority w:val="99"/>
    <w:rPr>
      <w:shd w:val="clear" w:color="auto" w:fill="FF0000"/>
    </w:rPr>
  </w:style>
  <w:style w:type="character" w:customStyle="1" w:styleId="92">
    <w:name w:val="other"/>
    <w:basedOn w:val="49"/>
    <w:qFormat/>
    <w:uiPriority w:val="99"/>
  </w:style>
  <w:style w:type="character" w:customStyle="1" w:styleId="93">
    <w:name w:val="active"/>
    <w:qFormat/>
    <w:uiPriority w:val="99"/>
    <w:rPr>
      <w:color w:val="00FF00"/>
      <w:shd w:val="clear" w:color="auto" w:fill="000000"/>
    </w:rPr>
  </w:style>
  <w:style w:type="character" w:customStyle="1" w:styleId="94">
    <w:name w:val="bds_more5"/>
    <w:basedOn w:val="49"/>
    <w:qFormat/>
    <w:uiPriority w:val="99"/>
  </w:style>
  <w:style w:type="character" w:customStyle="1" w:styleId="95">
    <w:name w:val="正文缩进 Char"/>
    <w:link w:val="9"/>
    <w:qFormat/>
    <w:locked/>
    <w:uiPriority w:val="99"/>
    <w:rPr>
      <w:rFonts w:eastAsia="楷体_GB2312"/>
      <w:kern w:val="2"/>
      <w:sz w:val="24"/>
      <w:szCs w:val="24"/>
      <w:lang w:val="en-US" w:eastAsia="zh-CN"/>
    </w:rPr>
  </w:style>
  <w:style w:type="character" w:customStyle="1" w:styleId="96">
    <w:name w:val="hilite"/>
    <w:qFormat/>
    <w:uiPriority w:val="99"/>
    <w:rPr>
      <w:color w:val="FFFFFF"/>
      <w:shd w:val="clear" w:color="auto" w:fill="auto"/>
    </w:rPr>
  </w:style>
  <w:style w:type="character" w:customStyle="1" w:styleId="97">
    <w:name w:val="state"/>
    <w:qFormat/>
    <w:uiPriority w:val="99"/>
    <w:rPr>
      <w:b/>
      <w:bCs/>
      <w:color w:val="FFFFFF"/>
      <w:sz w:val="19"/>
      <w:szCs w:val="19"/>
    </w:rPr>
  </w:style>
  <w:style w:type="character" w:customStyle="1" w:styleId="98">
    <w:name w:val="noused"/>
    <w:qFormat/>
    <w:uiPriority w:val="99"/>
    <w:rPr>
      <w:b/>
      <w:bCs/>
      <w:color w:val="FFFFFF"/>
      <w:sz w:val="21"/>
      <w:szCs w:val="21"/>
    </w:rPr>
  </w:style>
  <w:style w:type="character" w:customStyle="1" w:styleId="99">
    <w:name w:val="bds_more6"/>
    <w:basedOn w:val="49"/>
    <w:qFormat/>
    <w:uiPriority w:val="99"/>
  </w:style>
  <w:style w:type="character" w:customStyle="1" w:styleId="100">
    <w:name w:val="Char Char2"/>
    <w:qFormat/>
    <w:uiPriority w:val="99"/>
    <w:rPr>
      <w:rFonts w:ascii="宋体" w:hAnsi="宋体" w:eastAsia="楷体_GB2312" w:cs="宋体"/>
      <w:b/>
      <w:bCs/>
      <w:kern w:val="2"/>
      <w:sz w:val="26"/>
      <w:szCs w:val="26"/>
      <w:lang w:val="en-US" w:eastAsia="zh-CN"/>
    </w:rPr>
  </w:style>
  <w:style w:type="character" w:customStyle="1" w:styleId="101">
    <w:name w:val="bds_nopic"/>
    <w:basedOn w:val="49"/>
    <w:qFormat/>
    <w:uiPriority w:val="99"/>
  </w:style>
  <w:style w:type="character" w:customStyle="1" w:styleId="102">
    <w:name w:val="active8"/>
    <w:qFormat/>
    <w:uiPriority w:val="99"/>
    <w:rPr>
      <w:color w:val="00FF00"/>
      <w:shd w:val="clear" w:color="auto" w:fill="000000"/>
    </w:rPr>
  </w:style>
  <w:style w:type="character" w:customStyle="1" w:styleId="103">
    <w:name w:val="grid2"/>
    <w:basedOn w:val="49"/>
    <w:qFormat/>
    <w:uiPriority w:val="99"/>
  </w:style>
  <w:style w:type="character" w:customStyle="1" w:styleId="104">
    <w:name w:val="bds_nopic2"/>
    <w:basedOn w:val="49"/>
    <w:qFormat/>
    <w:uiPriority w:val="99"/>
  </w:style>
  <w:style w:type="character" w:customStyle="1" w:styleId="105">
    <w:name w:val="grid"/>
    <w:basedOn w:val="49"/>
    <w:qFormat/>
    <w:uiPriority w:val="99"/>
  </w:style>
  <w:style w:type="character" w:customStyle="1" w:styleId="106">
    <w:name w:val="bds_more7"/>
    <w:basedOn w:val="49"/>
    <w:qFormat/>
    <w:uiPriority w:val="99"/>
  </w:style>
  <w:style w:type="paragraph" w:customStyle="1" w:styleId="107">
    <w:name w:val="纯文本1"/>
    <w:basedOn w:val="1"/>
    <w:qFormat/>
    <w:uiPriority w:val="99"/>
    <w:pPr>
      <w:adjustRightInd w:val="0"/>
      <w:textAlignment w:val="baseline"/>
    </w:pPr>
    <w:rPr>
      <w:rFonts w:ascii="宋体" w:hAnsi="Courier New" w:cs="宋体"/>
    </w:rPr>
  </w:style>
  <w:style w:type="paragraph" w:customStyle="1" w:styleId="108">
    <w:name w:val="Char"/>
    <w:basedOn w:val="1"/>
    <w:qFormat/>
    <w:uiPriority w:val="99"/>
    <w:pPr>
      <w:widowControl/>
      <w:spacing w:after="160" w:line="240" w:lineRule="exact"/>
      <w:jc w:val="left"/>
    </w:pPr>
    <w:rPr>
      <w:rFonts w:ascii="Verdana" w:hAnsi="Verdana" w:eastAsia="宋体" w:cs="Verdana"/>
      <w:kern w:val="0"/>
      <w:sz w:val="21"/>
      <w:szCs w:val="21"/>
      <w:lang w:eastAsia="en-US"/>
    </w:rPr>
  </w:style>
  <w:style w:type="paragraph" w:customStyle="1" w:styleId="109">
    <w:name w:val="Char1"/>
    <w:basedOn w:val="1"/>
    <w:qFormat/>
    <w:uiPriority w:val="99"/>
    <w:rPr>
      <w:rFonts w:ascii="Tahoma" w:hAnsi="Tahoma" w:eastAsia="宋体" w:cs="Tahoma"/>
      <w:sz w:val="24"/>
      <w:szCs w:val="24"/>
    </w:rPr>
  </w:style>
  <w:style w:type="paragraph" w:customStyle="1" w:styleId="110">
    <w:name w:val="纯文本11"/>
    <w:basedOn w:val="1"/>
    <w:qFormat/>
    <w:uiPriority w:val="99"/>
    <w:pPr>
      <w:adjustRightInd w:val="0"/>
      <w:textAlignment w:val="baseline"/>
    </w:pPr>
    <w:rPr>
      <w:rFonts w:ascii="宋体" w:hAnsi="Courier New" w:cs="宋体"/>
      <w:sz w:val="28"/>
      <w:szCs w:val="28"/>
    </w:rPr>
  </w:style>
  <w:style w:type="paragraph" w:customStyle="1" w:styleId="111">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styleId="112">
    <w:name w:val="List Paragraph"/>
    <w:basedOn w:val="1"/>
    <w:qFormat/>
    <w:uiPriority w:val="99"/>
    <w:pPr>
      <w:ind w:firstLine="420" w:firstLineChars="200"/>
    </w:pPr>
    <w:rPr>
      <w:rFonts w:eastAsia="宋体"/>
      <w:sz w:val="21"/>
      <w:szCs w:val="21"/>
    </w:rPr>
  </w:style>
  <w:style w:type="paragraph" w:customStyle="1" w:styleId="113">
    <w:name w:val="Char Char1 Char Char Char Char"/>
    <w:basedOn w:val="17"/>
    <w:qFormat/>
    <w:uiPriority w:val="99"/>
    <w:pPr>
      <w:adjustRightInd w:val="0"/>
      <w:snapToGrid w:val="0"/>
      <w:spacing w:line="360" w:lineRule="auto"/>
    </w:pPr>
    <w:rPr>
      <w:rFonts w:ascii="Tahoma" w:hAnsi="Tahoma" w:eastAsia="宋体" w:cs="Tahoma"/>
      <w:sz w:val="24"/>
      <w:szCs w:val="24"/>
    </w:rPr>
  </w:style>
  <w:style w:type="paragraph" w:customStyle="1" w:styleId="114">
    <w:name w:val="图"/>
    <w:basedOn w:val="1"/>
    <w:qFormat/>
    <w:uiPriority w:val="99"/>
    <w:pPr>
      <w:keepNext/>
      <w:adjustRightInd w:val="0"/>
      <w:spacing w:before="60" w:after="60" w:line="300" w:lineRule="auto"/>
      <w:jc w:val="center"/>
      <w:textAlignment w:val="center"/>
    </w:pPr>
    <w:rPr>
      <w:rFonts w:eastAsia="宋体"/>
      <w:spacing w:val="20"/>
      <w:kern w:val="0"/>
      <w:sz w:val="24"/>
      <w:szCs w:val="24"/>
    </w:rPr>
  </w:style>
  <w:style w:type="table" w:customStyle="1" w:styleId="115">
    <w:name w:val="网格型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6">
    <w:name w:val="custom_unionstyle"/>
    <w:basedOn w:val="1"/>
    <w:qFormat/>
    <w:uiPriority w:val="0"/>
    <w:pPr>
      <w:adjustRightInd/>
      <w:snapToGrid/>
      <w:spacing w:before="100" w:beforeAutospacing="1" w:after="100" w:afterAutospacing="1"/>
    </w:pPr>
    <w:rPr>
      <w:rFonts w:ascii="宋体" w:hAnsi="宋体" w:eastAsia="仿宋_GB2312" w:cs="宋体"/>
      <w:sz w:val="32"/>
      <w:szCs w:val="20"/>
    </w:rPr>
  </w:style>
  <w:style w:type="paragraph" w:styleId="117">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81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27E99-FACE-49DC-9F4E-0DB2953A755C}">
  <ds:schemaRefs/>
</ds:datastoreItem>
</file>

<file path=docProps/app.xml><?xml version="1.0" encoding="utf-8"?>
<Properties xmlns="http://schemas.openxmlformats.org/officeDocument/2006/extended-properties" xmlns:vt="http://schemas.openxmlformats.org/officeDocument/2006/docPropsVTypes">
  <Template>Normal</Template>
  <Company>南京国衡南通分公司</Company>
  <Pages>33</Pages>
  <Words>3349</Words>
  <Characters>19090</Characters>
  <Lines>159</Lines>
  <Paragraphs>44</Paragraphs>
  <TotalTime>20</TotalTime>
  <ScaleCrop>false</ScaleCrop>
  <LinksUpToDate>false</LinksUpToDate>
  <CharactersWithSpaces>22395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2020-09-18T01:21:00Z</dcterms:created>
  <dc:creator>国衡南通</dc:creator>
  <cp:lastModifiedBy>F•J </cp:lastModifiedBy>
  <cp:lastPrinted>2020-09-18T03:56:00Z</cp:lastPrinted>
  <dcterms:modified xsi:type="dcterms:W3CDTF">2021-09-26T08:36:27Z</dcterms:modified>
  <dc:title>崇川区政府采购</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57E8B790716C4ADB80B6FE329018079B</vt:lpwstr>
  </property>
</Properties>
</file>